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B21C8" w14:textId="77777777" w:rsidR="004F6EDF" w:rsidRDefault="004F6EDF" w:rsidP="004F6EDF">
      <w:pPr>
        <w:spacing w:after="377" w:line="259" w:lineRule="auto"/>
        <w:ind w:left="0" w:right="13" w:firstLine="0"/>
        <w:jc w:val="left"/>
        <w:rPr>
          <w:rFonts w:ascii="Arial" w:eastAsia="Arial" w:hAnsi="Arial" w:cs="Arial"/>
          <w:color w:val="00B0F0"/>
        </w:rPr>
      </w:pPr>
      <w:r>
        <w:rPr>
          <w:rFonts w:ascii="Arial" w:eastAsia="Arial" w:hAnsi="Arial" w:cs="Arial"/>
          <w:color w:val="00B0F0"/>
        </w:rPr>
        <w:t xml:space="preserve">Human Resources </w:t>
      </w:r>
    </w:p>
    <w:p w14:paraId="608DB3AE" w14:textId="4088D473" w:rsidR="00F004E7" w:rsidRDefault="004F6EDF" w:rsidP="004F6EDF">
      <w:pPr>
        <w:spacing w:after="377" w:line="259" w:lineRule="auto"/>
        <w:ind w:left="0" w:right="13" w:firstLine="0"/>
        <w:jc w:val="left"/>
      </w:pPr>
      <w:r>
        <w:rPr>
          <w:rFonts w:ascii="Arial" w:eastAsia="Arial" w:hAnsi="Arial" w:cs="Arial"/>
          <w:b/>
          <w:color w:val="00B0F0"/>
          <w:sz w:val="16"/>
        </w:rPr>
        <w:t xml:space="preserve">United Nations Children’s Fund  </w:t>
      </w:r>
    </w:p>
    <w:p w14:paraId="37330B34" w14:textId="77777777" w:rsidR="00F004E7" w:rsidRDefault="004F6EDF">
      <w:pPr>
        <w:spacing w:after="23" w:line="259" w:lineRule="auto"/>
        <w:ind w:left="10" w:right="5"/>
        <w:jc w:val="center"/>
      </w:pPr>
      <w:r>
        <w:rPr>
          <w:color w:val="0070C0"/>
          <w:sz w:val="26"/>
        </w:rPr>
        <w:t xml:space="preserve">TERMINOS DE REFERENCIA PARA CONSULTORES </w:t>
      </w:r>
    </w:p>
    <w:p w14:paraId="3C41A06F" w14:textId="77777777" w:rsidR="00F004E7" w:rsidRDefault="004F6EDF">
      <w:pPr>
        <w:spacing w:after="23" w:line="259" w:lineRule="auto"/>
        <w:ind w:left="10" w:right="5"/>
        <w:jc w:val="center"/>
      </w:pPr>
      <w:r>
        <w:rPr>
          <w:color w:val="0070C0"/>
          <w:sz w:val="26"/>
        </w:rPr>
        <w:t xml:space="preserve">UNICEF BOLIVIA </w:t>
      </w:r>
    </w:p>
    <w:tbl>
      <w:tblPr>
        <w:tblStyle w:val="TableGrid"/>
        <w:tblW w:w="10166" w:type="dxa"/>
        <w:tblInd w:w="5" w:type="dxa"/>
        <w:tblCellMar>
          <w:top w:w="47" w:type="dxa"/>
          <w:left w:w="91" w:type="dxa"/>
          <w:right w:w="115" w:type="dxa"/>
        </w:tblCellMar>
        <w:tblLook w:val="04A0" w:firstRow="1" w:lastRow="0" w:firstColumn="1" w:lastColumn="0" w:noHBand="0" w:noVBand="1"/>
      </w:tblPr>
      <w:tblGrid>
        <w:gridCol w:w="5930"/>
        <w:gridCol w:w="4236"/>
      </w:tblGrid>
      <w:tr w:rsidR="00152C92" w:rsidRPr="000D37B4" w14:paraId="214EB78E" w14:textId="77777777" w:rsidTr="00747FEF">
        <w:trPr>
          <w:trHeight w:val="495"/>
        </w:trPr>
        <w:tc>
          <w:tcPr>
            <w:tcW w:w="5930" w:type="dxa"/>
            <w:tcBorders>
              <w:top w:val="single" w:sz="4" w:space="0" w:color="000000"/>
              <w:left w:val="single" w:sz="4" w:space="0" w:color="000000"/>
              <w:bottom w:val="single" w:sz="4" w:space="0" w:color="000000"/>
              <w:right w:val="single" w:sz="4" w:space="0" w:color="000000"/>
            </w:tcBorders>
          </w:tcPr>
          <w:p w14:paraId="0816C006" w14:textId="41CA827A" w:rsidR="00152C92" w:rsidRPr="00747FEF" w:rsidRDefault="00152C92" w:rsidP="00747FEF">
            <w:pPr>
              <w:spacing w:after="323" w:line="259" w:lineRule="auto"/>
              <w:ind w:left="17" w:firstLine="0"/>
              <w:jc w:val="left"/>
              <w:rPr>
                <w:lang w:val="es-ES"/>
              </w:rPr>
            </w:pPr>
            <w:r w:rsidRPr="009F4733">
              <w:rPr>
                <w:lang w:val="es-ES"/>
              </w:rPr>
              <w:t xml:space="preserve">CONSULTORÍA: </w:t>
            </w:r>
            <w:r w:rsidR="00747FEF">
              <w:rPr>
                <w:lang w:val="es-ES"/>
              </w:rPr>
              <w:t>Experto</w:t>
            </w:r>
            <w:r w:rsidR="003320C2">
              <w:rPr>
                <w:lang w:val="es-ES"/>
              </w:rPr>
              <w:t>/a</w:t>
            </w:r>
            <w:r w:rsidR="00747FEF">
              <w:rPr>
                <w:lang w:val="es-ES"/>
              </w:rPr>
              <w:t xml:space="preserve"> en Power BI y Visualización de Datos </w:t>
            </w:r>
          </w:p>
        </w:tc>
        <w:tc>
          <w:tcPr>
            <w:tcW w:w="4236" w:type="dxa"/>
            <w:tcBorders>
              <w:top w:val="single" w:sz="4" w:space="0" w:color="000000"/>
              <w:left w:val="single" w:sz="4" w:space="0" w:color="000000"/>
              <w:bottom w:val="single" w:sz="4" w:space="0" w:color="000000"/>
              <w:right w:val="single" w:sz="4" w:space="0" w:color="000000"/>
            </w:tcBorders>
          </w:tcPr>
          <w:p w14:paraId="5835C18A" w14:textId="3E331E66" w:rsidR="00152C92" w:rsidRPr="00747FEF" w:rsidRDefault="00152C92" w:rsidP="00747FEF">
            <w:pPr>
              <w:spacing w:after="283" w:line="239" w:lineRule="auto"/>
              <w:ind w:left="17" w:firstLine="0"/>
              <w:jc w:val="left"/>
              <w:rPr>
                <w:lang w:val="es-ES"/>
              </w:rPr>
            </w:pPr>
            <w:r w:rsidRPr="00747FEF">
              <w:rPr>
                <w:lang w:val="es-ES"/>
              </w:rPr>
              <w:t xml:space="preserve">SEDE DE LA CONSULTORÍA: SANTA CRUZ </w:t>
            </w:r>
          </w:p>
        </w:tc>
      </w:tr>
    </w:tbl>
    <w:p w14:paraId="0F694110" w14:textId="77777777" w:rsidR="00747FEF" w:rsidRPr="000D37B4" w:rsidRDefault="00747FEF" w:rsidP="00747FEF">
      <w:pPr>
        <w:spacing w:after="316"/>
        <w:ind w:left="720" w:firstLine="0"/>
        <w:rPr>
          <w:lang w:val="es-ES"/>
        </w:rPr>
      </w:pPr>
    </w:p>
    <w:p w14:paraId="63E4960E" w14:textId="5D25D500" w:rsidR="00F004E7" w:rsidRDefault="004F6EDF">
      <w:pPr>
        <w:numPr>
          <w:ilvl w:val="0"/>
          <w:numId w:val="1"/>
        </w:numPr>
        <w:spacing w:after="316"/>
        <w:ind w:hanging="360"/>
      </w:pPr>
      <w:r>
        <w:t>PROPÓSITO DE LA CONSULTORÍA. -</w:t>
      </w:r>
    </w:p>
    <w:p w14:paraId="535D7E43" w14:textId="77777777" w:rsidR="00F004E7" w:rsidRPr="009F4733" w:rsidRDefault="004F6EDF">
      <w:pPr>
        <w:spacing w:after="359"/>
        <w:ind w:left="-5"/>
        <w:rPr>
          <w:lang w:val="es-ES"/>
        </w:rPr>
      </w:pPr>
      <w:r w:rsidRPr="009F4733">
        <w:rPr>
          <w:lang w:val="es-ES"/>
        </w:rPr>
        <w:t xml:space="preserve">El propósito de la consultoría es acelerar y optimizar el despliegue de información valiosa dentro de la organización a través del desarrollo y la implementación de soluciones avanzadas de visualización de datos utilizando Power BI. El/la consultor/a será responsable de transformar datos complejos en visualizaciones claras y comprensibles que faciliten la toma de decisiones, mejorando así la eficiencia operativa y la capacidad de respuesta a los cambios del mercado. </w:t>
      </w:r>
    </w:p>
    <w:p w14:paraId="44C1AEC0" w14:textId="77777777" w:rsidR="00F004E7" w:rsidRDefault="004F6EDF">
      <w:pPr>
        <w:numPr>
          <w:ilvl w:val="0"/>
          <w:numId w:val="1"/>
        </w:numPr>
        <w:spacing w:after="280"/>
        <w:ind w:hanging="360"/>
      </w:pPr>
      <w:r>
        <w:t>ANTECEDENTES. –</w:t>
      </w:r>
    </w:p>
    <w:p w14:paraId="5559D07E" w14:textId="77777777" w:rsidR="00F004E7" w:rsidRPr="009F4733" w:rsidRDefault="004F6EDF">
      <w:pPr>
        <w:spacing w:after="317"/>
        <w:ind w:left="-5"/>
        <w:rPr>
          <w:lang w:val="es-ES"/>
        </w:rPr>
      </w:pPr>
      <w:r w:rsidRPr="009F4733">
        <w:rPr>
          <w:lang w:val="es-ES"/>
        </w:rPr>
        <w:t xml:space="preserve">La organización ha experimentado un crecimiento significativo en la generación y acumulación de datos a través de sus diversas operaciones y procesos. Ante este escenario, se ha identificado la necesidad de incorporar un/a experto/a en Power BI y Visualización de Datos para modernizar y optimizar el despliegue de datos, con el objetivo de mejorar la toma decisiones oportuna. </w:t>
      </w:r>
    </w:p>
    <w:p w14:paraId="768FFA44" w14:textId="63A29DCE" w:rsidR="00F004E7" w:rsidRDefault="004F6EDF" w:rsidP="00F76940">
      <w:pPr>
        <w:pStyle w:val="ListParagraph"/>
        <w:numPr>
          <w:ilvl w:val="0"/>
          <w:numId w:val="1"/>
        </w:numPr>
        <w:spacing w:after="0" w:line="259" w:lineRule="auto"/>
        <w:ind w:left="360" w:right="4"/>
        <w:jc w:val="left"/>
      </w:pPr>
      <w:r>
        <w:t xml:space="preserve">DESCRIPCIÓN DE LA CONSULTORÍA. -  </w:t>
      </w:r>
    </w:p>
    <w:p w14:paraId="084895AC" w14:textId="77777777" w:rsidR="00F76940" w:rsidRDefault="00F76940" w:rsidP="00F76940">
      <w:pPr>
        <w:pStyle w:val="ListParagraph"/>
        <w:spacing w:after="0" w:line="259" w:lineRule="auto"/>
        <w:ind w:right="4" w:firstLine="0"/>
        <w:jc w:val="center"/>
      </w:pPr>
    </w:p>
    <w:tbl>
      <w:tblPr>
        <w:tblStyle w:val="TableGrid"/>
        <w:tblW w:w="10248" w:type="dxa"/>
        <w:tblInd w:w="6" w:type="dxa"/>
        <w:tblCellMar>
          <w:top w:w="45" w:type="dxa"/>
          <w:left w:w="90" w:type="dxa"/>
          <w:bottom w:w="3" w:type="dxa"/>
          <w:right w:w="12" w:type="dxa"/>
        </w:tblCellMar>
        <w:tblLook w:val="04A0" w:firstRow="1" w:lastRow="0" w:firstColumn="1" w:lastColumn="0" w:noHBand="0" w:noVBand="1"/>
      </w:tblPr>
      <w:tblGrid>
        <w:gridCol w:w="349"/>
        <w:gridCol w:w="1889"/>
        <w:gridCol w:w="1779"/>
        <w:gridCol w:w="2541"/>
        <w:gridCol w:w="2034"/>
        <w:gridCol w:w="1656"/>
      </w:tblGrid>
      <w:tr w:rsidR="00F004E7" w:rsidRPr="000D37B4" w14:paraId="54005518" w14:textId="77777777" w:rsidTr="00860C58">
        <w:trPr>
          <w:trHeight w:val="587"/>
        </w:trPr>
        <w:tc>
          <w:tcPr>
            <w:tcW w:w="4017" w:type="dxa"/>
            <w:gridSpan w:val="3"/>
            <w:tcBorders>
              <w:top w:val="single" w:sz="4" w:space="0" w:color="000000"/>
              <w:left w:val="single" w:sz="4" w:space="0" w:color="000000"/>
              <w:bottom w:val="single" w:sz="4" w:space="0" w:color="000000"/>
              <w:right w:val="single" w:sz="4" w:space="0" w:color="000000"/>
            </w:tcBorders>
          </w:tcPr>
          <w:p w14:paraId="10D89635" w14:textId="6A65F8F3" w:rsidR="00F004E7" w:rsidRDefault="004F6EDF" w:rsidP="006F23A1">
            <w:pPr>
              <w:spacing w:after="42" w:line="259" w:lineRule="auto"/>
              <w:ind w:left="17" w:firstLine="0"/>
              <w:jc w:val="left"/>
            </w:pPr>
            <w:r w:rsidRPr="009F4733">
              <w:rPr>
                <w:lang w:val="es-ES"/>
              </w:rPr>
              <w:t xml:space="preserve">SUPERVISOR: </w:t>
            </w:r>
            <w:r>
              <w:t xml:space="preserve">Fundraising Officer </w:t>
            </w:r>
          </w:p>
        </w:tc>
        <w:tc>
          <w:tcPr>
            <w:tcW w:w="6231" w:type="dxa"/>
            <w:gridSpan w:val="3"/>
            <w:tcBorders>
              <w:top w:val="single" w:sz="4" w:space="0" w:color="000000"/>
              <w:left w:val="single" w:sz="4" w:space="0" w:color="000000"/>
              <w:bottom w:val="single" w:sz="4" w:space="0" w:color="000000"/>
              <w:right w:val="single" w:sz="4" w:space="0" w:color="000000"/>
            </w:tcBorders>
          </w:tcPr>
          <w:p w14:paraId="60071F22" w14:textId="52BF77EC" w:rsidR="00F004E7" w:rsidRPr="009F4733" w:rsidRDefault="004F6EDF" w:rsidP="006F23A1">
            <w:pPr>
              <w:spacing w:after="0" w:line="301" w:lineRule="auto"/>
              <w:ind w:left="18" w:right="73" w:firstLine="0"/>
              <w:jc w:val="left"/>
              <w:rPr>
                <w:lang w:val="es-ES"/>
              </w:rPr>
            </w:pPr>
            <w:r w:rsidRPr="009F4733">
              <w:rPr>
                <w:lang w:val="es-ES"/>
              </w:rPr>
              <w:t xml:space="preserve">VIGENCIA DE LA CONSULTORÍA (EN DÍAS CALENDARIO): </w:t>
            </w:r>
            <w:r w:rsidR="006F23A1">
              <w:rPr>
                <w:lang w:val="es-ES"/>
              </w:rPr>
              <w:t>9</w:t>
            </w:r>
            <w:r w:rsidR="001E1476">
              <w:rPr>
                <w:lang w:val="es-ES"/>
              </w:rPr>
              <w:t>5</w:t>
            </w:r>
          </w:p>
          <w:p w14:paraId="0465E49F" w14:textId="1886032D" w:rsidR="00F004E7" w:rsidRPr="000D37B4" w:rsidRDefault="00F004E7">
            <w:pPr>
              <w:spacing w:after="0" w:line="259" w:lineRule="auto"/>
              <w:ind w:left="18" w:firstLine="0"/>
              <w:jc w:val="left"/>
              <w:rPr>
                <w:lang w:val="es-ES"/>
              </w:rPr>
            </w:pPr>
          </w:p>
        </w:tc>
      </w:tr>
      <w:tr w:rsidR="00F004E7" w14:paraId="50BA5C9A" w14:textId="77777777" w:rsidTr="00860C58">
        <w:trPr>
          <w:trHeight w:val="852"/>
        </w:trPr>
        <w:tc>
          <w:tcPr>
            <w:tcW w:w="349" w:type="dxa"/>
            <w:tcBorders>
              <w:top w:val="single" w:sz="4" w:space="0" w:color="000000"/>
              <w:left w:val="single" w:sz="4" w:space="0" w:color="000000"/>
              <w:bottom w:val="single" w:sz="4" w:space="0" w:color="000000"/>
              <w:right w:val="single" w:sz="4" w:space="0" w:color="000000"/>
            </w:tcBorders>
            <w:vAlign w:val="center"/>
          </w:tcPr>
          <w:p w14:paraId="7E137C36" w14:textId="112EA2FA" w:rsidR="00F004E7" w:rsidRDefault="004F6EDF" w:rsidP="001245DA">
            <w:pPr>
              <w:spacing w:after="0" w:line="259" w:lineRule="auto"/>
              <w:ind w:left="0" w:right="81" w:firstLine="0"/>
            </w:pPr>
            <w:r>
              <w:t xml:space="preserve"># </w:t>
            </w:r>
          </w:p>
        </w:tc>
        <w:tc>
          <w:tcPr>
            <w:tcW w:w="1889" w:type="dxa"/>
            <w:tcBorders>
              <w:top w:val="single" w:sz="4" w:space="0" w:color="000000"/>
              <w:left w:val="single" w:sz="4" w:space="0" w:color="000000"/>
              <w:bottom w:val="single" w:sz="4" w:space="0" w:color="000000"/>
              <w:right w:val="single" w:sz="4" w:space="0" w:color="000000"/>
            </w:tcBorders>
            <w:vAlign w:val="center"/>
          </w:tcPr>
          <w:p w14:paraId="4C910E77" w14:textId="035CD1FA" w:rsidR="00F004E7" w:rsidRDefault="004F6EDF" w:rsidP="001245DA">
            <w:pPr>
              <w:spacing w:after="0" w:line="259" w:lineRule="auto"/>
              <w:ind w:left="0" w:right="78" w:firstLine="0"/>
              <w:jc w:val="center"/>
            </w:pPr>
            <w:r>
              <w:t>Producto</w:t>
            </w: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14:paraId="73E4C5F7" w14:textId="77777777" w:rsidR="00F004E7" w:rsidRPr="009F4733" w:rsidRDefault="004F6EDF">
            <w:pPr>
              <w:spacing w:after="0" w:line="259" w:lineRule="auto"/>
              <w:ind w:left="47" w:firstLine="0"/>
              <w:jc w:val="left"/>
              <w:rPr>
                <w:lang w:val="es-ES"/>
              </w:rPr>
            </w:pPr>
            <w:r w:rsidRPr="009F4733">
              <w:rPr>
                <w:lang w:val="es-ES"/>
              </w:rPr>
              <w:t xml:space="preserve">Descripción general de las actividades </w:t>
            </w:r>
          </w:p>
        </w:tc>
        <w:tc>
          <w:tcPr>
            <w:tcW w:w="2034" w:type="dxa"/>
            <w:tcBorders>
              <w:top w:val="single" w:sz="4" w:space="0" w:color="000000"/>
              <w:left w:val="single" w:sz="4" w:space="0" w:color="000000"/>
              <w:bottom w:val="single" w:sz="4" w:space="0" w:color="000000"/>
              <w:right w:val="single" w:sz="4" w:space="0" w:color="000000"/>
            </w:tcBorders>
          </w:tcPr>
          <w:p w14:paraId="2A8B93A9" w14:textId="68F25205" w:rsidR="00F004E7" w:rsidRPr="009F4733" w:rsidRDefault="001245DA">
            <w:pPr>
              <w:spacing w:after="0" w:line="259" w:lineRule="auto"/>
              <w:ind w:left="0" w:firstLine="0"/>
              <w:jc w:val="center"/>
              <w:rPr>
                <w:lang w:val="es-ES"/>
              </w:rPr>
            </w:pPr>
            <w:r>
              <w:rPr>
                <w:lang w:val="es-ES"/>
              </w:rPr>
              <w:t>Plazo</w:t>
            </w:r>
            <w:r w:rsidRPr="009F4733">
              <w:rPr>
                <w:lang w:val="es-ES"/>
              </w:rPr>
              <w:t xml:space="preserve"> de presentación del producto </w:t>
            </w:r>
          </w:p>
        </w:tc>
        <w:tc>
          <w:tcPr>
            <w:tcW w:w="1656" w:type="dxa"/>
            <w:tcBorders>
              <w:top w:val="single" w:sz="4" w:space="0" w:color="000000"/>
              <w:left w:val="single" w:sz="4" w:space="0" w:color="000000"/>
              <w:bottom w:val="single" w:sz="4" w:space="0" w:color="000000"/>
              <w:right w:val="single" w:sz="4" w:space="0" w:color="000000"/>
            </w:tcBorders>
            <w:vAlign w:val="center"/>
          </w:tcPr>
          <w:p w14:paraId="410AA720" w14:textId="6AA1EE4F" w:rsidR="00F004E7" w:rsidRDefault="00411A0D">
            <w:pPr>
              <w:spacing w:after="0" w:line="259" w:lineRule="auto"/>
              <w:ind w:left="0" w:right="85" w:firstLine="0"/>
              <w:jc w:val="center"/>
            </w:pPr>
            <w:r>
              <w:t xml:space="preserve">%Pago </w:t>
            </w:r>
          </w:p>
        </w:tc>
      </w:tr>
      <w:tr w:rsidR="00F004E7" w:rsidRPr="000D37B4" w14:paraId="67B98C46" w14:textId="77777777" w:rsidTr="00860C58">
        <w:trPr>
          <w:trHeight w:val="852"/>
        </w:trPr>
        <w:tc>
          <w:tcPr>
            <w:tcW w:w="349" w:type="dxa"/>
            <w:tcBorders>
              <w:top w:val="single" w:sz="4" w:space="0" w:color="000000"/>
              <w:left w:val="single" w:sz="4" w:space="0" w:color="000000"/>
              <w:bottom w:val="single" w:sz="4" w:space="0" w:color="000000"/>
              <w:right w:val="single" w:sz="4" w:space="0" w:color="000000"/>
            </w:tcBorders>
          </w:tcPr>
          <w:p w14:paraId="187F61F4" w14:textId="77777777" w:rsidR="00F004E7" w:rsidRDefault="004F6EDF">
            <w:pPr>
              <w:spacing w:after="18" w:line="259" w:lineRule="auto"/>
              <w:ind w:left="17" w:firstLine="0"/>
              <w:jc w:val="left"/>
            </w:pPr>
            <w:r>
              <w:t xml:space="preserve">1 </w:t>
            </w:r>
          </w:p>
          <w:p w14:paraId="69DD9798" w14:textId="77777777" w:rsidR="00F004E7" w:rsidRDefault="004F6EDF">
            <w:pPr>
              <w:spacing w:after="18" w:line="259" w:lineRule="auto"/>
              <w:ind w:left="17" w:firstLine="0"/>
              <w:jc w:val="left"/>
            </w:pPr>
            <w:r>
              <w:t xml:space="preserve"> </w:t>
            </w:r>
          </w:p>
          <w:p w14:paraId="750D86C5" w14:textId="77777777" w:rsidR="00F004E7" w:rsidRDefault="004F6EDF">
            <w:pPr>
              <w:spacing w:after="0" w:line="259" w:lineRule="auto"/>
              <w:ind w:left="17" w:firstLine="0"/>
              <w:jc w:val="left"/>
            </w:pPr>
            <w: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22F82AA1" w14:textId="77777777" w:rsidR="00F004E7" w:rsidRDefault="004F6EDF">
            <w:pPr>
              <w:spacing w:after="0" w:line="259" w:lineRule="auto"/>
              <w:ind w:left="18" w:firstLine="0"/>
              <w:jc w:val="left"/>
            </w:pPr>
            <w:r>
              <w:t xml:space="preserve"> </w:t>
            </w:r>
          </w:p>
          <w:p w14:paraId="25882E18" w14:textId="77777777" w:rsidR="00F004E7" w:rsidRDefault="004F6EDF">
            <w:pPr>
              <w:spacing w:after="0" w:line="259" w:lineRule="auto"/>
              <w:ind w:left="18" w:firstLine="0"/>
              <w:jc w:val="left"/>
            </w:pPr>
            <w:r>
              <w:t xml:space="preserve">Data Warehouses </w:t>
            </w:r>
          </w:p>
        </w:tc>
        <w:tc>
          <w:tcPr>
            <w:tcW w:w="4320" w:type="dxa"/>
            <w:gridSpan w:val="2"/>
            <w:tcBorders>
              <w:top w:val="single" w:sz="4" w:space="0" w:color="000000"/>
              <w:left w:val="single" w:sz="4" w:space="0" w:color="000000"/>
              <w:bottom w:val="single" w:sz="4" w:space="0" w:color="000000"/>
              <w:right w:val="single" w:sz="4" w:space="0" w:color="000000"/>
            </w:tcBorders>
          </w:tcPr>
          <w:p w14:paraId="745D0CC2" w14:textId="77777777" w:rsidR="00F004E7" w:rsidRPr="009F4733" w:rsidRDefault="004F6EDF">
            <w:pPr>
              <w:spacing w:after="18" w:line="259" w:lineRule="auto"/>
              <w:ind w:left="18" w:firstLine="0"/>
              <w:jc w:val="left"/>
              <w:rPr>
                <w:lang w:val="es-ES"/>
              </w:rPr>
            </w:pPr>
            <w:r w:rsidRPr="009F4733">
              <w:rPr>
                <w:lang w:val="es-ES"/>
              </w:rPr>
              <w:t xml:space="preserve">Extracción, Transformación y Carga de </w:t>
            </w:r>
          </w:p>
          <w:p w14:paraId="30BF579A" w14:textId="77777777" w:rsidR="00F004E7" w:rsidRPr="009F4733" w:rsidRDefault="004F6EDF">
            <w:pPr>
              <w:spacing w:after="18" w:line="259" w:lineRule="auto"/>
              <w:ind w:left="18" w:firstLine="0"/>
              <w:jc w:val="left"/>
              <w:rPr>
                <w:lang w:val="es-ES"/>
              </w:rPr>
            </w:pPr>
            <w:r w:rsidRPr="009F4733">
              <w:rPr>
                <w:lang w:val="es-ES"/>
              </w:rPr>
              <w:t xml:space="preserve">Datos </w:t>
            </w:r>
          </w:p>
          <w:p w14:paraId="379082CA" w14:textId="77777777" w:rsidR="00F004E7" w:rsidRPr="009F4733" w:rsidRDefault="004F6EDF">
            <w:pPr>
              <w:spacing w:after="0" w:line="259" w:lineRule="auto"/>
              <w:ind w:left="18" w:firstLine="0"/>
              <w:jc w:val="left"/>
              <w:rPr>
                <w:lang w:val="es-ES"/>
              </w:rPr>
            </w:pPr>
            <w:r w:rsidRPr="009F4733">
              <w:rPr>
                <w:lang w:val="es-ES"/>
              </w:rPr>
              <w:t xml:space="preserve">Analisis y diseño del Data Warehouse </w:t>
            </w:r>
          </w:p>
        </w:tc>
        <w:tc>
          <w:tcPr>
            <w:tcW w:w="2034" w:type="dxa"/>
            <w:tcBorders>
              <w:top w:val="single" w:sz="4" w:space="0" w:color="000000"/>
              <w:left w:val="single" w:sz="4" w:space="0" w:color="000000"/>
              <w:bottom w:val="single" w:sz="4" w:space="0" w:color="000000"/>
              <w:right w:val="single" w:sz="4" w:space="0" w:color="000000"/>
            </w:tcBorders>
          </w:tcPr>
          <w:p w14:paraId="30424070" w14:textId="5D456392" w:rsidR="00F004E7" w:rsidRPr="000D37B4" w:rsidRDefault="002532AE">
            <w:pPr>
              <w:spacing w:after="0" w:line="259" w:lineRule="auto"/>
              <w:ind w:left="18" w:firstLine="0"/>
              <w:jc w:val="left"/>
              <w:rPr>
                <w:lang w:val="es-ES"/>
              </w:rPr>
            </w:pPr>
            <w:r>
              <w:rPr>
                <w:lang w:val="es-ES"/>
              </w:rPr>
              <w:t>33 días después de la firma del contrato</w:t>
            </w:r>
          </w:p>
        </w:tc>
        <w:tc>
          <w:tcPr>
            <w:tcW w:w="1656" w:type="dxa"/>
            <w:tcBorders>
              <w:top w:val="single" w:sz="4" w:space="0" w:color="000000"/>
              <w:left w:val="single" w:sz="4" w:space="0" w:color="000000"/>
              <w:bottom w:val="single" w:sz="4" w:space="0" w:color="000000"/>
              <w:right w:val="single" w:sz="4" w:space="0" w:color="000000"/>
            </w:tcBorders>
          </w:tcPr>
          <w:p w14:paraId="78AEDF4D" w14:textId="145109AE" w:rsidR="00F004E7" w:rsidRPr="000D37B4" w:rsidRDefault="000D37B4" w:rsidP="000D37B4">
            <w:pPr>
              <w:spacing w:after="0" w:line="259" w:lineRule="auto"/>
              <w:ind w:left="15" w:firstLine="0"/>
              <w:jc w:val="center"/>
              <w:rPr>
                <w:lang w:val="es-ES"/>
              </w:rPr>
            </w:pPr>
            <w:r>
              <w:rPr>
                <w:lang w:val="es-ES"/>
              </w:rPr>
              <w:t>33%</w:t>
            </w:r>
          </w:p>
        </w:tc>
      </w:tr>
      <w:tr w:rsidR="00F004E7" w:rsidRPr="000D37B4" w14:paraId="53EB89B2" w14:textId="77777777" w:rsidTr="00860C58">
        <w:trPr>
          <w:trHeight w:val="852"/>
        </w:trPr>
        <w:tc>
          <w:tcPr>
            <w:tcW w:w="349" w:type="dxa"/>
            <w:tcBorders>
              <w:top w:val="single" w:sz="4" w:space="0" w:color="000000"/>
              <w:left w:val="single" w:sz="4" w:space="0" w:color="000000"/>
              <w:bottom w:val="single" w:sz="4" w:space="0" w:color="000000"/>
              <w:right w:val="single" w:sz="4" w:space="0" w:color="000000"/>
            </w:tcBorders>
          </w:tcPr>
          <w:p w14:paraId="54474AA5" w14:textId="77777777" w:rsidR="00F004E7" w:rsidRDefault="004F6EDF">
            <w:pPr>
              <w:spacing w:after="18" w:line="259" w:lineRule="auto"/>
              <w:ind w:left="17" w:firstLine="0"/>
              <w:jc w:val="left"/>
            </w:pPr>
            <w:r>
              <w:t xml:space="preserve">2 </w:t>
            </w:r>
          </w:p>
          <w:p w14:paraId="4E078763" w14:textId="77777777" w:rsidR="00F004E7" w:rsidRDefault="004F6EDF">
            <w:pPr>
              <w:spacing w:after="18" w:line="259" w:lineRule="auto"/>
              <w:ind w:left="17" w:firstLine="0"/>
              <w:jc w:val="left"/>
            </w:pPr>
            <w:r>
              <w:t xml:space="preserve"> </w:t>
            </w:r>
          </w:p>
          <w:p w14:paraId="11E1CCF1" w14:textId="77777777" w:rsidR="00F004E7" w:rsidRDefault="004F6EDF">
            <w:pPr>
              <w:spacing w:after="0" w:line="259" w:lineRule="auto"/>
              <w:ind w:left="17" w:firstLine="0"/>
              <w:jc w:val="left"/>
            </w:pPr>
            <w: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1E7FE337" w14:textId="77777777" w:rsidR="00F004E7" w:rsidRDefault="004F6EDF">
            <w:pPr>
              <w:spacing w:after="0" w:line="259" w:lineRule="auto"/>
              <w:ind w:left="18" w:firstLine="0"/>
              <w:jc w:val="left"/>
            </w:pPr>
            <w:r>
              <w:t xml:space="preserve"> </w:t>
            </w:r>
          </w:p>
          <w:p w14:paraId="2B3C6828" w14:textId="77777777" w:rsidR="00F004E7" w:rsidRDefault="004F6EDF">
            <w:pPr>
              <w:spacing w:after="0" w:line="259" w:lineRule="auto"/>
              <w:ind w:left="18" w:firstLine="0"/>
              <w:jc w:val="left"/>
            </w:pPr>
            <w:r>
              <w:t xml:space="preserve">Reportes Analiticos </w:t>
            </w:r>
          </w:p>
        </w:tc>
        <w:tc>
          <w:tcPr>
            <w:tcW w:w="4320" w:type="dxa"/>
            <w:gridSpan w:val="2"/>
            <w:tcBorders>
              <w:top w:val="single" w:sz="4" w:space="0" w:color="000000"/>
              <w:left w:val="single" w:sz="4" w:space="0" w:color="000000"/>
              <w:bottom w:val="single" w:sz="4" w:space="0" w:color="000000"/>
              <w:right w:val="single" w:sz="4" w:space="0" w:color="000000"/>
            </w:tcBorders>
          </w:tcPr>
          <w:p w14:paraId="4774A2B1" w14:textId="77777777" w:rsidR="00F004E7" w:rsidRPr="009F4733" w:rsidRDefault="004F6EDF">
            <w:pPr>
              <w:spacing w:after="18" w:line="259" w:lineRule="auto"/>
              <w:ind w:left="18" w:firstLine="0"/>
              <w:jc w:val="left"/>
              <w:rPr>
                <w:lang w:val="es-ES"/>
              </w:rPr>
            </w:pPr>
            <w:r w:rsidRPr="009F4733">
              <w:rPr>
                <w:lang w:val="es-ES"/>
              </w:rPr>
              <w:t xml:space="preserve">Diseno de dashbards analiticos </w:t>
            </w:r>
          </w:p>
          <w:p w14:paraId="60924A2C" w14:textId="77777777" w:rsidR="00F004E7" w:rsidRPr="009F4733" w:rsidRDefault="004F6EDF">
            <w:pPr>
              <w:spacing w:after="0" w:line="259" w:lineRule="auto"/>
              <w:ind w:left="18" w:firstLine="0"/>
              <w:jc w:val="left"/>
              <w:rPr>
                <w:lang w:val="es-ES"/>
              </w:rPr>
            </w:pPr>
            <w:r w:rsidRPr="009F4733">
              <w:rPr>
                <w:lang w:val="es-ES"/>
              </w:rPr>
              <w:t xml:space="preserve">Creacion de KPIs y OKRs </w:t>
            </w:r>
          </w:p>
        </w:tc>
        <w:tc>
          <w:tcPr>
            <w:tcW w:w="2034" w:type="dxa"/>
            <w:tcBorders>
              <w:top w:val="single" w:sz="4" w:space="0" w:color="000000"/>
              <w:left w:val="single" w:sz="4" w:space="0" w:color="000000"/>
              <w:bottom w:val="single" w:sz="4" w:space="0" w:color="000000"/>
              <w:right w:val="single" w:sz="4" w:space="0" w:color="000000"/>
            </w:tcBorders>
          </w:tcPr>
          <w:p w14:paraId="67346D12" w14:textId="02D44E48" w:rsidR="00F004E7" w:rsidRPr="000D37B4" w:rsidRDefault="001E1476">
            <w:pPr>
              <w:spacing w:after="0" w:line="259" w:lineRule="auto"/>
              <w:ind w:left="18" w:firstLine="0"/>
              <w:jc w:val="left"/>
              <w:rPr>
                <w:lang w:val="es-ES"/>
              </w:rPr>
            </w:pPr>
            <w:r>
              <w:rPr>
                <w:lang w:val="es-ES"/>
              </w:rPr>
              <w:t>64 días después de la firma del contrato</w:t>
            </w:r>
          </w:p>
        </w:tc>
        <w:tc>
          <w:tcPr>
            <w:tcW w:w="1656" w:type="dxa"/>
            <w:tcBorders>
              <w:top w:val="single" w:sz="4" w:space="0" w:color="000000"/>
              <w:left w:val="single" w:sz="4" w:space="0" w:color="000000"/>
              <w:bottom w:val="single" w:sz="4" w:space="0" w:color="000000"/>
              <w:right w:val="single" w:sz="4" w:space="0" w:color="000000"/>
            </w:tcBorders>
          </w:tcPr>
          <w:p w14:paraId="61494BBD" w14:textId="4D80DD32" w:rsidR="00F004E7" w:rsidRPr="000D37B4" w:rsidRDefault="000D37B4" w:rsidP="000D37B4">
            <w:pPr>
              <w:spacing w:after="0" w:line="259" w:lineRule="auto"/>
              <w:ind w:left="15" w:firstLine="0"/>
              <w:jc w:val="center"/>
              <w:rPr>
                <w:lang w:val="es-ES"/>
              </w:rPr>
            </w:pPr>
            <w:r>
              <w:rPr>
                <w:lang w:val="es-ES"/>
              </w:rPr>
              <w:t>33%</w:t>
            </w:r>
          </w:p>
        </w:tc>
      </w:tr>
      <w:tr w:rsidR="00F004E7" w:rsidRPr="000D37B4" w14:paraId="52FF2775" w14:textId="77777777" w:rsidTr="00860C58">
        <w:trPr>
          <w:trHeight w:val="852"/>
        </w:trPr>
        <w:tc>
          <w:tcPr>
            <w:tcW w:w="349" w:type="dxa"/>
            <w:tcBorders>
              <w:top w:val="single" w:sz="4" w:space="0" w:color="000000"/>
              <w:left w:val="single" w:sz="4" w:space="0" w:color="000000"/>
              <w:bottom w:val="single" w:sz="4" w:space="0" w:color="000000"/>
              <w:right w:val="single" w:sz="4" w:space="0" w:color="000000"/>
            </w:tcBorders>
          </w:tcPr>
          <w:p w14:paraId="0E0E4B0F" w14:textId="77777777" w:rsidR="00F004E7" w:rsidRDefault="004F6EDF">
            <w:pPr>
              <w:spacing w:after="18" w:line="259" w:lineRule="auto"/>
              <w:ind w:left="17" w:firstLine="0"/>
              <w:jc w:val="left"/>
            </w:pPr>
            <w:r>
              <w:t xml:space="preserve">3 </w:t>
            </w:r>
          </w:p>
          <w:p w14:paraId="5562264F" w14:textId="77777777" w:rsidR="00F004E7" w:rsidRDefault="004F6EDF">
            <w:pPr>
              <w:spacing w:after="18" w:line="259" w:lineRule="auto"/>
              <w:ind w:left="17" w:firstLine="0"/>
              <w:jc w:val="left"/>
            </w:pPr>
            <w:r>
              <w:t xml:space="preserve"> </w:t>
            </w:r>
          </w:p>
          <w:p w14:paraId="316496D1" w14:textId="77777777" w:rsidR="00F004E7" w:rsidRDefault="004F6EDF">
            <w:pPr>
              <w:spacing w:after="0" w:line="259" w:lineRule="auto"/>
              <w:ind w:left="17" w:firstLine="0"/>
              <w:jc w:val="left"/>
            </w:pPr>
            <w: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7AFA9BE6" w14:textId="77777777" w:rsidR="00F004E7" w:rsidRDefault="004F6EDF">
            <w:pPr>
              <w:spacing w:after="0" w:line="259" w:lineRule="auto"/>
              <w:ind w:left="18" w:firstLine="0"/>
              <w:jc w:val="left"/>
            </w:pPr>
            <w:r>
              <w:t xml:space="preserve"> </w:t>
            </w:r>
          </w:p>
          <w:p w14:paraId="7B3BCDCC" w14:textId="77777777" w:rsidR="00F004E7" w:rsidRDefault="004F6EDF">
            <w:pPr>
              <w:spacing w:after="0" w:line="259" w:lineRule="auto"/>
              <w:ind w:left="18" w:firstLine="0"/>
              <w:jc w:val="left"/>
            </w:pPr>
            <w:r>
              <w:t xml:space="preserve">Reportes Operativos </w:t>
            </w:r>
          </w:p>
        </w:tc>
        <w:tc>
          <w:tcPr>
            <w:tcW w:w="4320" w:type="dxa"/>
            <w:gridSpan w:val="2"/>
            <w:tcBorders>
              <w:top w:val="single" w:sz="4" w:space="0" w:color="000000"/>
              <w:left w:val="single" w:sz="4" w:space="0" w:color="000000"/>
              <w:bottom w:val="single" w:sz="4" w:space="0" w:color="000000"/>
              <w:right w:val="single" w:sz="4" w:space="0" w:color="000000"/>
            </w:tcBorders>
          </w:tcPr>
          <w:p w14:paraId="40530611" w14:textId="77777777" w:rsidR="00F004E7" w:rsidRPr="009F4733" w:rsidRDefault="004F6EDF">
            <w:pPr>
              <w:spacing w:after="18" w:line="259" w:lineRule="auto"/>
              <w:ind w:left="18" w:firstLine="0"/>
              <w:jc w:val="left"/>
              <w:rPr>
                <w:lang w:val="es-ES"/>
              </w:rPr>
            </w:pPr>
            <w:r w:rsidRPr="009F4733">
              <w:rPr>
                <w:lang w:val="es-ES"/>
              </w:rPr>
              <w:t xml:space="preserve">Elaboracion de reports operativos </w:t>
            </w:r>
          </w:p>
          <w:p w14:paraId="4C1C96DD" w14:textId="77777777" w:rsidR="00F004E7" w:rsidRPr="009F4733" w:rsidRDefault="004F6EDF">
            <w:pPr>
              <w:spacing w:after="0" w:line="259" w:lineRule="auto"/>
              <w:ind w:left="18" w:firstLine="0"/>
              <w:jc w:val="left"/>
              <w:rPr>
                <w:lang w:val="es-ES"/>
              </w:rPr>
            </w:pPr>
            <w:r w:rsidRPr="009F4733">
              <w:rPr>
                <w:lang w:val="es-ES"/>
              </w:rPr>
              <w:t xml:space="preserve">Parametrizacion y formateo de Datos </w:t>
            </w:r>
          </w:p>
        </w:tc>
        <w:tc>
          <w:tcPr>
            <w:tcW w:w="2034" w:type="dxa"/>
            <w:tcBorders>
              <w:top w:val="single" w:sz="4" w:space="0" w:color="000000"/>
              <w:left w:val="single" w:sz="4" w:space="0" w:color="000000"/>
              <w:bottom w:val="single" w:sz="4" w:space="0" w:color="000000"/>
              <w:right w:val="single" w:sz="4" w:space="0" w:color="000000"/>
            </w:tcBorders>
          </w:tcPr>
          <w:p w14:paraId="7FD46A35" w14:textId="46405688" w:rsidR="00F004E7" w:rsidRPr="000D37B4" w:rsidRDefault="001E1476">
            <w:pPr>
              <w:spacing w:after="0" w:line="259" w:lineRule="auto"/>
              <w:ind w:left="18" w:firstLine="0"/>
              <w:jc w:val="left"/>
              <w:rPr>
                <w:lang w:val="es-ES"/>
              </w:rPr>
            </w:pPr>
            <w:r>
              <w:rPr>
                <w:lang w:val="es-ES"/>
              </w:rPr>
              <w:t>95</w:t>
            </w:r>
            <w:r>
              <w:rPr>
                <w:lang w:val="es-ES"/>
              </w:rPr>
              <w:t xml:space="preserve"> días después de la firma del contrato</w:t>
            </w:r>
          </w:p>
        </w:tc>
        <w:tc>
          <w:tcPr>
            <w:tcW w:w="1656" w:type="dxa"/>
            <w:tcBorders>
              <w:top w:val="single" w:sz="4" w:space="0" w:color="000000"/>
              <w:left w:val="single" w:sz="4" w:space="0" w:color="000000"/>
              <w:bottom w:val="single" w:sz="4" w:space="0" w:color="000000"/>
              <w:right w:val="single" w:sz="4" w:space="0" w:color="000000"/>
            </w:tcBorders>
          </w:tcPr>
          <w:p w14:paraId="12FB6FDD" w14:textId="5F7A063E" w:rsidR="00F004E7" w:rsidRPr="000D37B4" w:rsidRDefault="000D37B4" w:rsidP="000D37B4">
            <w:pPr>
              <w:spacing w:after="0" w:line="259" w:lineRule="auto"/>
              <w:ind w:left="15" w:firstLine="0"/>
              <w:jc w:val="center"/>
              <w:rPr>
                <w:lang w:val="es-ES"/>
              </w:rPr>
            </w:pPr>
            <w:r>
              <w:rPr>
                <w:lang w:val="es-ES"/>
              </w:rPr>
              <w:t>34%</w:t>
            </w:r>
          </w:p>
        </w:tc>
      </w:tr>
    </w:tbl>
    <w:p w14:paraId="6A5B3FF6" w14:textId="77777777" w:rsidR="00F004E7" w:rsidRPr="000D37B4" w:rsidRDefault="004F6EDF">
      <w:pPr>
        <w:spacing w:after="18" w:line="259" w:lineRule="auto"/>
        <w:ind w:left="113" w:firstLine="0"/>
        <w:rPr>
          <w:lang w:val="es-ES"/>
        </w:rPr>
      </w:pPr>
      <w:r w:rsidRPr="000D37B4">
        <w:rPr>
          <w:color w:val="BB15AF"/>
          <w:lang w:val="es-ES"/>
        </w:rPr>
        <w:t xml:space="preserve"> </w:t>
      </w:r>
    </w:p>
    <w:p w14:paraId="49B1B9FA" w14:textId="77777777" w:rsidR="00F004E7" w:rsidRPr="000D37B4" w:rsidRDefault="004F6EDF">
      <w:pPr>
        <w:spacing w:after="18" w:line="259" w:lineRule="auto"/>
        <w:ind w:left="113" w:firstLine="0"/>
        <w:rPr>
          <w:lang w:val="es-ES"/>
        </w:rPr>
      </w:pPr>
      <w:r w:rsidRPr="000D37B4">
        <w:rPr>
          <w:color w:val="BB15AF"/>
          <w:lang w:val="es-ES"/>
        </w:rPr>
        <w:t xml:space="preserve"> </w:t>
      </w:r>
    </w:p>
    <w:p w14:paraId="42387E17" w14:textId="77777777" w:rsidR="00F004E7" w:rsidRPr="000D37B4" w:rsidRDefault="004F6EDF">
      <w:pPr>
        <w:spacing w:after="16" w:line="259" w:lineRule="auto"/>
        <w:ind w:left="113" w:firstLine="0"/>
        <w:rPr>
          <w:lang w:val="es-ES"/>
        </w:rPr>
      </w:pPr>
      <w:r w:rsidRPr="000D37B4">
        <w:rPr>
          <w:color w:val="BB15AF"/>
          <w:lang w:val="es-ES"/>
        </w:rPr>
        <w:t xml:space="preserve"> </w:t>
      </w:r>
    </w:p>
    <w:p w14:paraId="0C4A2322" w14:textId="77777777" w:rsidR="00F004E7" w:rsidRPr="000D37B4" w:rsidRDefault="004F6EDF">
      <w:pPr>
        <w:spacing w:after="18" w:line="259" w:lineRule="auto"/>
        <w:ind w:left="113" w:firstLine="0"/>
        <w:rPr>
          <w:lang w:val="es-ES"/>
        </w:rPr>
      </w:pPr>
      <w:r w:rsidRPr="000D37B4">
        <w:rPr>
          <w:color w:val="BB15AF"/>
          <w:lang w:val="es-ES"/>
        </w:rPr>
        <w:t xml:space="preserve"> </w:t>
      </w:r>
    </w:p>
    <w:p w14:paraId="13327C9C" w14:textId="77777777" w:rsidR="00F004E7" w:rsidRPr="000D37B4" w:rsidRDefault="004F6EDF">
      <w:pPr>
        <w:spacing w:after="18" w:line="259" w:lineRule="auto"/>
        <w:ind w:left="113" w:firstLine="0"/>
        <w:rPr>
          <w:lang w:val="es-ES"/>
        </w:rPr>
      </w:pPr>
      <w:r w:rsidRPr="000D37B4">
        <w:rPr>
          <w:color w:val="BB15AF"/>
          <w:lang w:val="es-ES"/>
        </w:rPr>
        <w:t xml:space="preserve"> </w:t>
      </w:r>
    </w:p>
    <w:p w14:paraId="12E33B6D" w14:textId="77777777" w:rsidR="00F004E7" w:rsidRPr="000D37B4" w:rsidRDefault="004F6EDF">
      <w:pPr>
        <w:spacing w:after="18" w:line="259" w:lineRule="auto"/>
        <w:ind w:left="113" w:firstLine="0"/>
        <w:rPr>
          <w:lang w:val="es-ES"/>
        </w:rPr>
      </w:pPr>
      <w:r w:rsidRPr="000D37B4">
        <w:rPr>
          <w:color w:val="BB15AF"/>
          <w:lang w:val="es-ES"/>
        </w:rPr>
        <w:t xml:space="preserve"> </w:t>
      </w:r>
    </w:p>
    <w:p w14:paraId="326B7467" w14:textId="77777777" w:rsidR="00F004E7" w:rsidRPr="000D37B4" w:rsidRDefault="004F6EDF">
      <w:pPr>
        <w:spacing w:after="18" w:line="259" w:lineRule="auto"/>
        <w:ind w:left="113" w:firstLine="0"/>
        <w:rPr>
          <w:lang w:val="es-ES"/>
        </w:rPr>
      </w:pPr>
      <w:r w:rsidRPr="000D37B4">
        <w:rPr>
          <w:color w:val="BB15AF"/>
          <w:lang w:val="es-ES"/>
        </w:rPr>
        <w:t xml:space="preserve"> </w:t>
      </w:r>
    </w:p>
    <w:p w14:paraId="56652E98" w14:textId="0C5A2C0F" w:rsidR="00F004E7" w:rsidRPr="00E736D5" w:rsidRDefault="004F6EDF" w:rsidP="004B172B">
      <w:pPr>
        <w:pStyle w:val="ListParagraph"/>
        <w:numPr>
          <w:ilvl w:val="0"/>
          <w:numId w:val="1"/>
        </w:numPr>
        <w:tabs>
          <w:tab w:val="left" w:pos="630"/>
        </w:tabs>
        <w:spacing w:after="18" w:line="259" w:lineRule="auto"/>
        <w:ind w:left="180" w:firstLine="0"/>
        <w:rPr>
          <w:lang w:val="es-ES"/>
        </w:rPr>
      </w:pPr>
      <w:r w:rsidRPr="00E736D5">
        <w:rPr>
          <w:lang w:val="es-ES"/>
        </w:rPr>
        <w:lastRenderedPageBreak/>
        <w:t xml:space="preserve">VIAJES REQUERIDOS EN LA CONSULTORÍA: </w:t>
      </w:r>
      <w:r w:rsidR="00FC59D9" w:rsidRPr="00E736D5">
        <w:rPr>
          <w:lang w:val="es-ES"/>
        </w:rPr>
        <w:t>Sin viajes</w:t>
      </w:r>
    </w:p>
    <w:p w14:paraId="54075030" w14:textId="5A9398F6" w:rsidR="00F004E7" w:rsidRPr="00FC59D9" w:rsidRDefault="004F6EDF" w:rsidP="00FC59D9">
      <w:pPr>
        <w:spacing w:after="0" w:line="259" w:lineRule="auto"/>
        <w:ind w:left="0" w:right="1217" w:firstLine="0"/>
        <w:jc w:val="right"/>
        <w:rPr>
          <w:lang w:val="es-ES"/>
        </w:rPr>
      </w:pPr>
      <w:r w:rsidRPr="00860C58">
        <w:rPr>
          <w:color w:val="BB15AF"/>
          <w:lang w:val="es-ES"/>
        </w:rPr>
        <w:t xml:space="preserve"> </w:t>
      </w:r>
      <w:r w:rsidRPr="00FC59D9">
        <w:rPr>
          <w:rFonts w:ascii="Arial" w:eastAsia="Arial" w:hAnsi="Arial" w:cs="Arial"/>
          <w:lang w:val="es-ES"/>
        </w:rPr>
        <w:t xml:space="preserve"> </w:t>
      </w:r>
      <w:r w:rsidRPr="00FC59D9">
        <w:rPr>
          <w:lang w:val="es-ES"/>
        </w:rPr>
        <w:t xml:space="preserve"> </w:t>
      </w:r>
    </w:p>
    <w:p w14:paraId="379C21DF" w14:textId="77777777" w:rsidR="00F004E7" w:rsidRDefault="004F6EDF">
      <w:pPr>
        <w:numPr>
          <w:ilvl w:val="0"/>
          <w:numId w:val="2"/>
        </w:numPr>
        <w:spacing w:after="18" w:line="259" w:lineRule="auto"/>
        <w:ind w:right="3592" w:hanging="360"/>
      </w:pPr>
      <w:r>
        <w:t xml:space="preserve">PERFIL DEL CANDIDATO: </w:t>
      </w:r>
    </w:p>
    <w:p w14:paraId="7BCC3915" w14:textId="77777777" w:rsidR="00F004E7" w:rsidRDefault="004F6EDF">
      <w:pPr>
        <w:spacing w:after="0" w:line="259" w:lineRule="auto"/>
        <w:ind w:left="720" w:firstLine="0"/>
        <w:jc w:val="left"/>
      </w:pPr>
      <w:r>
        <w:t xml:space="preserve"> </w:t>
      </w:r>
    </w:p>
    <w:tbl>
      <w:tblPr>
        <w:tblStyle w:val="TableGrid"/>
        <w:tblW w:w="10250" w:type="dxa"/>
        <w:tblInd w:w="5" w:type="dxa"/>
        <w:tblCellMar>
          <w:top w:w="47" w:type="dxa"/>
          <w:left w:w="108" w:type="dxa"/>
          <w:bottom w:w="4" w:type="dxa"/>
          <w:right w:w="64" w:type="dxa"/>
        </w:tblCellMar>
        <w:tblLook w:val="04A0" w:firstRow="1" w:lastRow="0" w:firstColumn="1" w:lastColumn="0" w:noHBand="0" w:noVBand="1"/>
      </w:tblPr>
      <w:tblGrid>
        <w:gridCol w:w="10250"/>
      </w:tblGrid>
      <w:tr w:rsidR="00FC59D9" w:rsidRPr="000D37B4" w14:paraId="021531D6" w14:textId="77777777" w:rsidTr="000F0405">
        <w:trPr>
          <w:trHeight w:val="6201"/>
        </w:trPr>
        <w:tc>
          <w:tcPr>
            <w:tcW w:w="10250" w:type="dxa"/>
            <w:tcBorders>
              <w:top w:val="single" w:sz="4" w:space="0" w:color="000000"/>
              <w:left w:val="single" w:sz="4" w:space="0" w:color="000000"/>
              <w:bottom w:val="single" w:sz="4" w:space="0" w:color="000000"/>
              <w:right w:val="single" w:sz="4" w:space="0" w:color="000000"/>
            </w:tcBorders>
          </w:tcPr>
          <w:p w14:paraId="4CFB923C" w14:textId="77777777" w:rsidR="00FC59D9" w:rsidRPr="009F4733" w:rsidRDefault="00FC59D9" w:rsidP="00FC59D9">
            <w:pPr>
              <w:spacing w:after="0" w:line="259" w:lineRule="auto"/>
              <w:ind w:left="0" w:firstLine="0"/>
              <w:jc w:val="left"/>
              <w:rPr>
                <w:lang w:val="es-ES"/>
              </w:rPr>
            </w:pPr>
            <w:r w:rsidRPr="009F4733">
              <w:rPr>
                <w:lang w:val="es-ES"/>
              </w:rPr>
              <w:t xml:space="preserve"> </w:t>
            </w:r>
          </w:p>
          <w:p w14:paraId="20BF9D63" w14:textId="41D96B70" w:rsidR="00FC59D9" w:rsidRPr="009F4733" w:rsidRDefault="00FC59D9" w:rsidP="00FC59D9">
            <w:pPr>
              <w:spacing w:after="0" w:line="259" w:lineRule="auto"/>
              <w:ind w:left="0" w:firstLine="0"/>
              <w:jc w:val="left"/>
              <w:rPr>
                <w:lang w:val="es-ES"/>
              </w:rPr>
            </w:pPr>
            <w:r w:rsidRPr="009F4733">
              <w:rPr>
                <w:lang w:val="es-ES"/>
              </w:rPr>
              <w:t xml:space="preserve">ESPECIFICAR EL ÁREA DE FORMACIÓN ACADÉMICA. - </w:t>
            </w:r>
          </w:p>
          <w:p w14:paraId="5C95F64A" w14:textId="7D5178C9" w:rsidR="00FC59D9" w:rsidRDefault="00FC59D9" w:rsidP="0010621E">
            <w:pPr>
              <w:spacing w:after="0" w:line="259" w:lineRule="auto"/>
              <w:ind w:left="0" w:firstLine="0"/>
              <w:jc w:val="left"/>
              <w:rPr>
                <w:rFonts w:ascii="Arial" w:eastAsia="Arial" w:hAnsi="Arial" w:cs="Arial"/>
                <w:lang w:val="es-ES"/>
              </w:rPr>
            </w:pPr>
            <w:r w:rsidRPr="009F4733">
              <w:rPr>
                <w:rFonts w:ascii="Arial" w:eastAsia="Arial" w:hAnsi="Arial" w:cs="Arial"/>
                <w:lang w:val="es-ES"/>
              </w:rPr>
              <w:t>Ingeniería de Sistemas o Licenciatura en Informática con Maestría en Inteligencia de Negocios y/o Visualización de Datos</w:t>
            </w:r>
            <w:r w:rsidR="0010621E">
              <w:rPr>
                <w:rFonts w:ascii="Arial" w:eastAsia="Arial" w:hAnsi="Arial" w:cs="Arial"/>
                <w:lang w:val="es-ES"/>
              </w:rPr>
              <w:t xml:space="preserve">; </w:t>
            </w:r>
            <w:r w:rsidR="0010621E" w:rsidRPr="009F4733">
              <w:rPr>
                <w:rFonts w:ascii="Arial" w:eastAsia="Arial" w:hAnsi="Arial" w:cs="Arial"/>
                <w:lang w:val="es-ES"/>
              </w:rPr>
              <w:t xml:space="preserve">especializado en el análisis de datos. </w:t>
            </w:r>
          </w:p>
          <w:p w14:paraId="360DD4D5" w14:textId="77777777" w:rsidR="006045E5" w:rsidRPr="009F4733" w:rsidRDefault="006045E5" w:rsidP="006045E5">
            <w:pPr>
              <w:spacing w:after="0" w:line="259" w:lineRule="auto"/>
              <w:ind w:left="0" w:firstLine="0"/>
              <w:jc w:val="left"/>
              <w:rPr>
                <w:lang w:val="es-ES"/>
              </w:rPr>
            </w:pPr>
            <w:r>
              <w:rPr>
                <w:rFonts w:ascii="Arial" w:eastAsia="Arial" w:hAnsi="Arial" w:cs="Arial"/>
                <w:lang w:val="es-ES"/>
              </w:rPr>
              <w:t xml:space="preserve">Formación </w:t>
            </w:r>
            <w:r w:rsidRPr="009F4733">
              <w:rPr>
                <w:rFonts w:ascii="Arial" w:eastAsia="Arial" w:hAnsi="Arial" w:cs="Arial"/>
                <w:lang w:val="es-ES"/>
              </w:rPr>
              <w:t>en Power BI y Excel avanzado</w:t>
            </w:r>
            <w:r>
              <w:rPr>
                <w:rFonts w:ascii="Arial" w:eastAsia="Arial" w:hAnsi="Arial" w:cs="Arial"/>
                <w:lang w:val="es-ES"/>
              </w:rPr>
              <w:t>.</w:t>
            </w:r>
          </w:p>
          <w:p w14:paraId="61CD6C46" w14:textId="77777777" w:rsidR="00FC59D9" w:rsidRDefault="00FC59D9">
            <w:pPr>
              <w:spacing w:after="0" w:line="259" w:lineRule="auto"/>
              <w:ind w:left="0" w:firstLine="0"/>
              <w:jc w:val="left"/>
              <w:rPr>
                <w:lang w:val="es-ES"/>
              </w:rPr>
            </w:pPr>
          </w:p>
          <w:p w14:paraId="179D1816" w14:textId="3BE6D321" w:rsidR="0059121C" w:rsidRDefault="00FC59D9" w:rsidP="000F0405">
            <w:pPr>
              <w:spacing w:after="0" w:line="259" w:lineRule="auto"/>
              <w:ind w:left="0" w:firstLine="0"/>
              <w:jc w:val="left"/>
              <w:rPr>
                <w:lang w:val="es-ES"/>
              </w:rPr>
            </w:pPr>
            <w:r w:rsidRPr="009F4733">
              <w:rPr>
                <w:lang w:val="es-ES"/>
              </w:rPr>
              <w:t xml:space="preserve">EXPERIENCIA GENERAL. </w:t>
            </w:r>
            <w:r w:rsidR="0059121C">
              <w:rPr>
                <w:lang w:val="es-ES"/>
              </w:rPr>
              <w:t>–</w:t>
            </w:r>
            <w:r w:rsidRPr="009F4733">
              <w:rPr>
                <w:lang w:val="es-ES"/>
              </w:rPr>
              <w:t xml:space="preserve"> </w:t>
            </w:r>
          </w:p>
          <w:p w14:paraId="7830A9A4" w14:textId="70CD1368" w:rsidR="0010621E" w:rsidRDefault="0059121C" w:rsidP="000F0405">
            <w:pPr>
              <w:spacing w:after="0" w:line="259" w:lineRule="auto"/>
              <w:ind w:left="0" w:firstLine="0"/>
              <w:jc w:val="left"/>
              <w:rPr>
                <w:rFonts w:ascii="Arial" w:eastAsia="Arial" w:hAnsi="Arial" w:cs="Arial"/>
                <w:lang w:val="es-ES"/>
              </w:rPr>
            </w:pPr>
            <w:r>
              <w:rPr>
                <w:lang w:val="es-ES"/>
              </w:rPr>
              <w:t>Diez</w:t>
            </w:r>
            <w:r w:rsidR="00FC59D9" w:rsidRPr="009F4733">
              <w:rPr>
                <w:rFonts w:ascii="Arial" w:eastAsia="Arial" w:hAnsi="Arial" w:cs="Arial"/>
                <w:lang w:val="es-ES"/>
              </w:rPr>
              <w:t xml:space="preserve"> años de experiencia en inteligencia de negocios</w:t>
            </w:r>
          </w:p>
          <w:p w14:paraId="3D728A56" w14:textId="5D676E55" w:rsidR="00FC59D9" w:rsidRPr="009F4733" w:rsidRDefault="00FC59D9">
            <w:pPr>
              <w:spacing w:after="0" w:line="259" w:lineRule="auto"/>
              <w:ind w:left="0" w:firstLine="0"/>
              <w:jc w:val="left"/>
              <w:rPr>
                <w:lang w:val="es-ES"/>
              </w:rPr>
            </w:pPr>
            <w:r w:rsidRPr="009F4733">
              <w:rPr>
                <w:rFonts w:ascii="Arial" w:eastAsia="Arial" w:hAnsi="Arial" w:cs="Arial"/>
                <w:lang w:val="es-ES"/>
              </w:rPr>
              <w:t>Exper</w:t>
            </w:r>
            <w:r w:rsidR="0010621E">
              <w:rPr>
                <w:rFonts w:ascii="Arial" w:eastAsia="Arial" w:hAnsi="Arial" w:cs="Arial"/>
                <w:lang w:val="es-ES"/>
              </w:rPr>
              <w:t xml:space="preserve">iencia en </w:t>
            </w:r>
            <w:r w:rsidRPr="009F4733">
              <w:rPr>
                <w:rFonts w:ascii="Arial" w:eastAsia="Arial" w:hAnsi="Arial" w:cs="Arial"/>
                <w:lang w:val="es-ES"/>
              </w:rPr>
              <w:t>diseñ</w:t>
            </w:r>
            <w:r w:rsidR="008B3AC4">
              <w:rPr>
                <w:rFonts w:ascii="Arial" w:eastAsia="Arial" w:hAnsi="Arial" w:cs="Arial"/>
                <w:lang w:val="es-ES"/>
              </w:rPr>
              <w:t>o</w:t>
            </w:r>
            <w:r w:rsidRPr="009F4733">
              <w:rPr>
                <w:rFonts w:ascii="Arial" w:eastAsia="Arial" w:hAnsi="Arial" w:cs="Arial"/>
                <w:lang w:val="es-ES"/>
              </w:rPr>
              <w:t xml:space="preserve"> e implementa</w:t>
            </w:r>
            <w:r w:rsidR="008B3AC4">
              <w:rPr>
                <w:rFonts w:ascii="Arial" w:eastAsia="Arial" w:hAnsi="Arial" w:cs="Arial"/>
                <w:lang w:val="es-ES"/>
              </w:rPr>
              <w:t xml:space="preserve">ción de </w:t>
            </w:r>
            <w:r w:rsidRPr="009F4733">
              <w:rPr>
                <w:rFonts w:ascii="Arial" w:eastAsia="Arial" w:hAnsi="Arial" w:cs="Arial"/>
                <w:lang w:val="es-ES"/>
              </w:rPr>
              <w:t>soluciones de Business Intelligence (BI) y visualización de datos</w:t>
            </w:r>
            <w:r w:rsidR="0059121C">
              <w:rPr>
                <w:rFonts w:ascii="Arial" w:eastAsia="Arial" w:hAnsi="Arial" w:cs="Arial"/>
                <w:lang w:val="es-ES"/>
              </w:rPr>
              <w:t xml:space="preserve">, al menos </w:t>
            </w:r>
            <w:r w:rsidR="00326126">
              <w:rPr>
                <w:rFonts w:ascii="Arial" w:eastAsia="Arial" w:hAnsi="Arial" w:cs="Arial"/>
                <w:lang w:val="es-ES"/>
              </w:rPr>
              <w:t>3 años</w:t>
            </w:r>
            <w:r w:rsidRPr="009F4733">
              <w:rPr>
                <w:rFonts w:ascii="Arial" w:eastAsia="Arial" w:hAnsi="Arial" w:cs="Arial"/>
                <w:lang w:val="es-ES"/>
              </w:rPr>
              <w:t xml:space="preserve">. </w:t>
            </w:r>
            <w:r w:rsidRPr="009F4733">
              <w:rPr>
                <w:lang w:val="es-ES"/>
              </w:rPr>
              <w:t xml:space="preserve"> </w:t>
            </w:r>
          </w:p>
          <w:p w14:paraId="6E31C83A" w14:textId="77777777" w:rsidR="00FC59D9" w:rsidRPr="009F4733" w:rsidRDefault="00FC59D9">
            <w:pPr>
              <w:spacing w:after="0" w:line="259" w:lineRule="auto"/>
              <w:ind w:left="0" w:firstLine="0"/>
              <w:jc w:val="left"/>
              <w:rPr>
                <w:lang w:val="es-ES"/>
              </w:rPr>
            </w:pPr>
            <w:r w:rsidRPr="009F4733">
              <w:rPr>
                <w:lang w:val="es-ES"/>
              </w:rPr>
              <w:t xml:space="preserve"> </w:t>
            </w:r>
          </w:p>
          <w:p w14:paraId="3AF9FC84" w14:textId="599A3D97" w:rsidR="00F70827" w:rsidRDefault="00FC59D9" w:rsidP="003E7372">
            <w:pPr>
              <w:spacing w:after="0" w:line="259" w:lineRule="auto"/>
              <w:ind w:left="0" w:firstLine="0"/>
              <w:jc w:val="left"/>
              <w:rPr>
                <w:rFonts w:ascii="Arial" w:eastAsia="Arial" w:hAnsi="Arial" w:cs="Arial"/>
                <w:lang w:val="es-ES"/>
              </w:rPr>
            </w:pPr>
            <w:r w:rsidRPr="009F4733">
              <w:rPr>
                <w:lang w:val="es-ES"/>
              </w:rPr>
              <w:t xml:space="preserve">EXPERIENCIA ESPECÍFICA. -  </w:t>
            </w:r>
            <w:r w:rsidR="00326126">
              <w:rPr>
                <w:lang w:val="es-ES"/>
              </w:rPr>
              <w:t xml:space="preserve">Al menos 3 años </w:t>
            </w:r>
            <w:r w:rsidR="00326126">
              <w:rPr>
                <w:rFonts w:ascii="Arial" w:eastAsia="Arial" w:hAnsi="Arial" w:cs="Arial"/>
                <w:lang w:val="es-ES"/>
              </w:rPr>
              <w:t xml:space="preserve">de </w:t>
            </w:r>
            <w:r w:rsidRPr="009F4733">
              <w:rPr>
                <w:rFonts w:ascii="Arial" w:eastAsia="Arial" w:hAnsi="Arial" w:cs="Arial"/>
                <w:lang w:val="es-ES"/>
              </w:rPr>
              <w:t>experiencia en la creación de informes interactivos, parametrización de reportes, paneles de control dinámicos y automatización de procesos de análisis de datos.</w:t>
            </w:r>
          </w:p>
          <w:p w14:paraId="30DC83CC" w14:textId="77777777" w:rsidR="00F70827" w:rsidRDefault="00F70827">
            <w:pPr>
              <w:spacing w:line="241" w:lineRule="auto"/>
              <w:ind w:left="0" w:firstLine="0"/>
              <w:jc w:val="left"/>
              <w:rPr>
                <w:rFonts w:ascii="Arial" w:eastAsia="Arial" w:hAnsi="Arial" w:cs="Arial"/>
                <w:lang w:val="es-ES"/>
              </w:rPr>
            </w:pPr>
          </w:p>
          <w:p w14:paraId="3817812F" w14:textId="77777777" w:rsidR="00FC59D9" w:rsidRDefault="00FC59D9">
            <w:pPr>
              <w:spacing w:after="0" w:line="259" w:lineRule="auto"/>
              <w:ind w:left="0" w:firstLine="0"/>
              <w:jc w:val="left"/>
              <w:rPr>
                <w:lang w:val="es-ES"/>
              </w:rPr>
            </w:pPr>
            <w:r w:rsidRPr="009F4733">
              <w:rPr>
                <w:lang w:val="es-ES"/>
              </w:rPr>
              <w:t xml:space="preserve">CONOCIMIENTOS ESPECÍFICOS. –  </w:t>
            </w:r>
          </w:p>
          <w:p w14:paraId="3002FDE8" w14:textId="77777777" w:rsidR="00DA4E7E" w:rsidRDefault="00DA4E7E" w:rsidP="00DA4E7E">
            <w:pPr>
              <w:spacing w:line="241" w:lineRule="auto"/>
              <w:ind w:left="0" w:firstLine="0"/>
              <w:jc w:val="left"/>
              <w:rPr>
                <w:rFonts w:ascii="Arial" w:eastAsia="Arial" w:hAnsi="Arial" w:cs="Arial"/>
                <w:lang w:val="es-ES"/>
              </w:rPr>
            </w:pPr>
            <w:r w:rsidRPr="009F4733">
              <w:rPr>
                <w:rFonts w:ascii="Arial" w:eastAsia="Arial" w:hAnsi="Arial" w:cs="Arial"/>
                <w:lang w:val="es-ES"/>
              </w:rPr>
              <w:t xml:space="preserve">Proficiente en la integración de datos desde diversas fuentes y en la generación de visualizaciones impactantes que facilitan la comprensión y la toma de decisiones. </w:t>
            </w:r>
          </w:p>
          <w:p w14:paraId="354CF4F2" w14:textId="77777777" w:rsidR="00DA4E7E" w:rsidRPr="009F4733" w:rsidRDefault="00DA4E7E" w:rsidP="00DA4E7E">
            <w:pPr>
              <w:spacing w:line="241" w:lineRule="auto"/>
              <w:ind w:left="0" w:firstLine="0"/>
              <w:jc w:val="left"/>
              <w:rPr>
                <w:lang w:val="es-ES"/>
              </w:rPr>
            </w:pPr>
            <w:r w:rsidRPr="009F4733">
              <w:rPr>
                <w:rFonts w:ascii="Arial" w:eastAsia="Arial" w:hAnsi="Arial" w:cs="Arial"/>
                <w:lang w:val="es-ES"/>
              </w:rPr>
              <w:t xml:space="preserve">Sólido conocimiento en visualización de datos, aplicando técnicas avanzadas para presentar información de forma clara y efectiva, optimizando el rendimiento de las herramientas de BI para maximizar el valor del análisis. </w:t>
            </w:r>
          </w:p>
          <w:p w14:paraId="0A18327E" w14:textId="77777777" w:rsidR="00FC59D9" w:rsidRPr="009F4733" w:rsidRDefault="00FC59D9">
            <w:pPr>
              <w:spacing w:after="0" w:line="259" w:lineRule="auto"/>
              <w:ind w:left="0" w:firstLine="0"/>
              <w:jc w:val="left"/>
              <w:rPr>
                <w:lang w:val="es-ES"/>
              </w:rPr>
            </w:pPr>
            <w:r w:rsidRPr="009F4733">
              <w:rPr>
                <w:rFonts w:ascii="Arial" w:eastAsia="Arial" w:hAnsi="Arial" w:cs="Arial"/>
                <w:lang w:val="es-ES"/>
              </w:rPr>
              <w:t xml:space="preserve">Power BI Avanzado </w:t>
            </w:r>
          </w:p>
          <w:p w14:paraId="5D55C072" w14:textId="77777777" w:rsidR="00FC59D9" w:rsidRPr="009F4733" w:rsidRDefault="00FC59D9">
            <w:pPr>
              <w:spacing w:after="0" w:line="259" w:lineRule="auto"/>
              <w:ind w:left="0" w:firstLine="0"/>
              <w:jc w:val="left"/>
              <w:rPr>
                <w:lang w:val="es-ES"/>
              </w:rPr>
            </w:pPr>
            <w:r w:rsidRPr="009F4733">
              <w:rPr>
                <w:rFonts w:ascii="Arial" w:eastAsia="Arial" w:hAnsi="Arial" w:cs="Arial"/>
                <w:lang w:val="es-ES"/>
              </w:rPr>
              <w:t xml:space="preserve">Excel VBA Avanzado </w:t>
            </w:r>
          </w:p>
          <w:p w14:paraId="4555A7DA" w14:textId="200003F1" w:rsidR="00FC59D9" w:rsidRPr="009F4733" w:rsidRDefault="00FC59D9">
            <w:pPr>
              <w:spacing w:after="0" w:line="259" w:lineRule="auto"/>
              <w:ind w:left="0" w:firstLine="0"/>
              <w:jc w:val="left"/>
              <w:rPr>
                <w:lang w:val="es-ES"/>
              </w:rPr>
            </w:pPr>
            <w:r w:rsidRPr="009F4733">
              <w:rPr>
                <w:rFonts w:ascii="Arial" w:eastAsia="Arial" w:hAnsi="Arial" w:cs="Arial"/>
                <w:lang w:val="es-ES"/>
              </w:rPr>
              <w:t>Metodologías de Visualización de Datos</w:t>
            </w:r>
          </w:p>
        </w:tc>
      </w:tr>
    </w:tbl>
    <w:p w14:paraId="243AA451" w14:textId="77777777" w:rsidR="00F004E7" w:rsidRPr="000D37B4" w:rsidRDefault="004F6EDF">
      <w:pPr>
        <w:spacing w:after="0" w:line="259" w:lineRule="auto"/>
        <w:ind w:left="720" w:firstLine="0"/>
        <w:jc w:val="left"/>
        <w:rPr>
          <w:lang w:val="es-ES"/>
        </w:rPr>
      </w:pPr>
      <w:r w:rsidRPr="000D37B4">
        <w:rPr>
          <w:lang w:val="es-ES"/>
        </w:rPr>
        <w:t xml:space="preserve"> </w:t>
      </w:r>
    </w:p>
    <w:p w14:paraId="62D64C10" w14:textId="7464C15A" w:rsidR="00F004E7" w:rsidRDefault="004F6EDF" w:rsidP="004B172B">
      <w:pPr>
        <w:pStyle w:val="ListParagraph"/>
        <w:numPr>
          <w:ilvl w:val="0"/>
          <w:numId w:val="2"/>
        </w:numPr>
      </w:pPr>
      <w:r>
        <w:t xml:space="preserve">DETALLES ADMINISTRATIVOS. - </w:t>
      </w:r>
    </w:p>
    <w:p w14:paraId="5230E5EA" w14:textId="77777777" w:rsidR="00F004E7" w:rsidRDefault="004F6EDF">
      <w:pPr>
        <w:spacing w:after="28" w:line="259" w:lineRule="auto"/>
        <w:ind w:left="720" w:firstLine="0"/>
        <w:jc w:val="left"/>
      </w:pPr>
      <w:r>
        <w:t xml:space="preserve"> </w:t>
      </w:r>
    </w:p>
    <w:p w14:paraId="38F1359F" w14:textId="77777777" w:rsidR="00F004E7" w:rsidRDefault="004F6EDF">
      <w:pPr>
        <w:pBdr>
          <w:top w:val="single" w:sz="4" w:space="0" w:color="000000"/>
          <w:left w:val="single" w:sz="4" w:space="0" w:color="000000"/>
          <w:bottom w:val="single" w:sz="4" w:space="0" w:color="000000"/>
          <w:right w:val="single" w:sz="4" w:space="0" w:color="000000"/>
        </w:pBdr>
        <w:spacing w:after="18" w:line="259" w:lineRule="auto"/>
        <w:ind w:left="113" w:firstLine="0"/>
        <w:jc w:val="left"/>
      </w:pPr>
      <w:r>
        <w:rPr>
          <w:i/>
        </w:rPr>
        <w:t xml:space="preserve"> </w:t>
      </w:r>
    </w:p>
    <w:p w14:paraId="18A2F905" w14:textId="14E12972" w:rsidR="00F004E7" w:rsidRPr="009F4733" w:rsidRDefault="004F6EDF">
      <w:pPr>
        <w:pBdr>
          <w:top w:val="single" w:sz="4" w:space="0" w:color="000000"/>
          <w:left w:val="single" w:sz="4" w:space="0" w:color="000000"/>
          <w:bottom w:val="single" w:sz="4" w:space="0" w:color="000000"/>
          <w:right w:val="single" w:sz="4" w:space="0" w:color="000000"/>
        </w:pBdr>
        <w:spacing w:after="0" w:line="277" w:lineRule="auto"/>
        <w:ind w:left="113" w:firstLine="0"/>
        <w:jc w:val="left"/>
        <w:rPr>
          <w:lang w:val="es-ES"/>
        </w:rPr>
      </w:pPr>
      <w:r w:rsidRPr="009F4733">
        <w:rPr>
          <w:i/>
          <w:lang w:val="es-ES"/>
        </w:rPr>
        <w:t xml:space="preserve">Nota- Consultores deben contar con su propio equipo, herramientas y materiales para desarrollar sus servicios. El acceso al email de UNICEF y a sus sistemas </w:t>
      </w:r>
      <w:r w:rsidR="00160330">
        <w:rPr>
          <w:i/>
          <w:lang w:val="es-ES"/>
        </w:rPr>
        <w:t>son</w:t>
      </w:r>
      <w:r w:rsidRPr="009F4733">
        <w:rPr>
          <w:i/>
          <w:lang w:val="es-ES"/>
        </w:rPr>
        <w:t xml:space="preserve"> restringidos. </w:t>
      </w:r>
    </w:p>
    <w:p w14:paraId="3F37E9A4" w14:textId="77777777" w:rsidR="00F004E7" w:rsidRPr="009F4733" w:rsidRDefault="004F6EDF">
      <w:pPr>
        <w:pBdr>
          <w:top w:val="single" w:sz="4" w:space="0" w:color="000000"/>
          <w:left w:val="single" w:sz="4" w:space="0" w:color="000000"/>
          <w:bottom w:val="single" w:sz="4" w:space="0" w:color="000000"/>
          <w:right w:val="single" w:sz="4" w:space="0" w:color="000000"/>
        </w:pBdr>
        <w:spacing w:after="30" w:line="259" w:lineRule="auto"/>
        <w:ind w:left="113" w:firstLine="0"/>
        <w:jc w:val="left"/>
        <w:rPr>
          <w:lang w:val="es-ES"/>
        </w:rPr>
      </w:pPr>
      <w:r w:rsidRPr="009F4733">
        <w:rPr>
          <w:lang w:val="es-ES"/>
        </w:rPr>
        <w:t xml:space="preserve"> </w:t>
      </w:r>
    </w:p>
    <w:p w14:paraId="5F0B1497" w14:textId="77777777" w:rsidR="00F004E7" w:rsidRPr="009F4733" w:rsidRDefault="004F6EDF">
      <w:pPr>
        <w:spacing w:after="18" w:line="259" w:lineRule="auto"/>
        <w:ind w:left="113" w:firstLine="0"/>
        <w:jc w:val="left"/>
        <w:rPr>
          <w:lang w:val="es-ES"/>
        </w:rPr>
      </w:pPr>
      <w:r w:rsidRPr="009F4733">
        <w:rPr>
          <w:lang w:val="es-ES"/>
        </w:rPr>
        <w:t xml:space="preserve"> </w:t>
      </w:r>
    </w:p>
    <w:p w14:paraId="4FCA8163" w14:textId="2A7B5071" w:rsidR="002529B1" w:rsidRPr="001246CA" w:rsidRDefault="002529B1" w:rsidP="004B172B">
      <w:pPr>
        <w:numPr>
          <w:ilvl w:val="0"/>
          <w:numId w:val="2"/>
        </w:numPr>
        <w:ind w:hanging="360"/>
        <w:rPr>
          <w:rFonts w:asciiTheme="majorHAnsi" w:hAnsiTheme="majorHAnsi" w:cstheme="majorHAnsi"/>
          <w:lang w:val="es-419"/>
        </w:rPr>
      </w:pPr>
      <w:r w:rsidRPr="001246CA">
        <w:rPr>
          <w:rFonts w:asciiTheme="majorHAnsi" w:eastAsia="Arial Unicode MS" w:hAnsiTheme="majorHAnsi" w:cstheme="majorHAnsi"/>
          <w:b/>
          <w:color w:val="auto"/>
          <w:lang w:val="es-419"/>
        </w:rPr>
        <w:t xml:space="preserve">DOCUMENTACIÓN REQUERIDA PARA LA POSTULACIÓN. – </w:t>
      </w:r>
      <w:r w:rsidRPr="001246CA">
        <w:rPr>
          <w:rFonts w:asciiTheme="majorHAnsi" w:eastAsia="Arial Unicode MS" w:hAnsiTheme="majorHAnsi" w:cstheme="majorHAnsi"/>
          <w:bCs/>
          <w:color w:val="auto"/>
          <w:szCs w:val="20"/>
          <w:lang w:val="es-BO"/>
        </w:rPr>
        <w:t xml:space="preserve">Las personas interesadas deben registrarse en Página de Oportunidades de Naciones Unidas: </w:t>
      </w:r>
      <w:hyperlink r:id="rId7">
        <w:r w:rsidRPr="001246CA">
          <w:rPr>
            <w:rFonts w:asciiTheme="majorHAnsi" w:eastAsia="Arial Unicode MS" w:hAnsiTheme="majorHAnsi" w:cstheme="majorHAnsi"/>
            <w:bCs/>
            <w:color w:val="auto"/>
            <w:szCs w:val="20"/>
            <w:lang w:val="es-BO"/>
          </w:rPr>
          <w:t>http://www.oportunidades.onu.org.bo</w:t>
        </w:r>
      </w:hyperlink>
      <w:r w:rsidRPr="001246CA">
        <w:rPr>
          <w:rFonts w:asciiTheme="majorHAnsi" w:eastAsia="Arial Unicode MS" w:hAnsiTheme="majorHAnsi" w:cstheme="majorHAnsi"/>
          <w:bCs/>
          <w:color w:val="auto"/>
          <w:szCs w:val="20"/>
          <w:lang w:val="es-BO"/>
        </w:rPr>
        <w:t xml:space="preserve">, adjuntando la siguiente documentación: </w:t>
      </w:r>
    </w:p>
    <w:p w14:paraId="26D2974C" w14:textId="77777777" w:rsidR="002529B1" w:rsidRPr="000753B2" w:rsidRDefault="002529B1" w:rsidP="002529B1">
      <w:pPr>
        <w:pStyle w:val="Default"/>
        <w:jc w:val="both"/>
        <w:rPr>
          <w:rFonts w:asciiTheme="majorHAnsi" w:eastAsia="Arial Unicode MS" w:hAnsiTheme="majorHAnsi" w:cstheme="majorHAnsi"/>
          <w:bCs/>
          <w:color w:val="auto"/>
          <w:sz w:val="20"/>
          <w:szCs w:val="20"/>
          <w:lang w:val="es-BO"/>
        </w:rPr>
      </w:pPr>
    </w:p>
    <w:p w14:paraId="7802FA66" w14:textId="77777777" w:rsidR="002529B1" w:rsidRPr="000753B2" w:rsidRDefault="002529B1" w:rsidP="002529B1">
      <w:pPr>
        <w:pStyle w:val="Default"/>
        <w:jc w:val="both"/>
        <w:rPr>
          <w:rFonts w:asciiTheme="majorHAnsi" w:eastAsia="Arial Unicode MS" w:hAnsiTheme="majorHAnsi" w:cstheme="majorHAnsi"/>
          <w:bCs/>
          <w:color w:val="auto"/>
          <w:sz w:val="20"/>
          <w:szCs w:val="20"/>
          <w:lang w:val="es-BO"/>
        </w:rPr>
      </w:pPr>
      <w:r w:rsidRPr="000753B2">
        <w:rPr>
          <w:rFonts w:asciiTheme="majorHAnsi" w:eastAsia="Arial Unicode MS" w:hAnsiTheme="majorHAnsi" w:cstheme="majorHAnsi"/>
          <w:bCs/>
          <w:color w:val="auto"/>
          <w:sz w:val="20"/>
          <w:szCs w:val="20"/>
          <w:lang w:val="es-BO"/>
        </w:rPr>
        <w:t>1.- Carnet de vacunación</w:t>
      </w:r>
      <w:r>
        <w:rPr>
          <w:rFonts w:asciiTheme="majorHAnsi" w:eastAsia="Arial Unicode MS" w:hAnsiTheme="majorHAnsi" w:cstheme="majorHAnsi"/>
          <w:bCs/>
          <w:color w:val="auto"/>
          <w:sz w:val="20"/>
          <w:szCs w:val="20"/>
          <w:lang w:val="es-BO"/>
        </w:rPr>
        <w:t xml:space="preserve"> de COVID</w:t>
      </w:r>
      <w:r w:rsidRPr="000753B2">
        <w:rPr>
          <w:rFonts w:asciiTheme="majorHAnsi" w:eastAsia="Arial Unicode MS" w:hAnsiTheme="majorHAnsi" w:cstheme="majorHAnsi"/>
          <w:bCs/>
          <w:color w:val="auto"/>
          <w:sz w:val="20"/>
          <w:szCs w:val="20"/>
          <w:lang w:val="es-BO"/>
        </w:rPr>
        <w:t xml:space="preserve"> con al menos dos dosis de esquema de vacunación </w:t>
      </w:r>
    </w:p>
    <w:p w14:paraId="254D1950" w14:textId="77777777" w:rsidR="002529B1" w:rsidRPr="000753B2" w:rsidRDefault="002529B1" w:rsidP="002529B1">
      <w:pPr>
        <w:pStyle w:val="Default"/>
        <w:spacing w:after="11"/>
        <w:jc w:val="both"/>
        <w:rPr>
          <w:rFonts w:asciiTheme="majorHAnsi" w:eastAsia="Arial Unicode MS" w:hAnsiTheme="majorHAnsi" w:cstheme="majorHAnsi"/>
          <w:bCs/>
          <w:color w:val="auto"/>
          <w:sz w:val="20"/>
          <w:szCs w:val="20"/>
          <w:lang w:val="es-BO"/>
        </w:rPr>
      </w:pPr>
    </w:p>
    <w:p w14:paraId="19D0C817" w14:textId="77777777" w:rsidR="002529B1" w:rsidRPr="000753B2" w:rsidRDefault="002529B1" w:rsidP="002529B1">
      <w:pPr>
        <w:pStyle w:val="Default"/>
        <w:spacing w:after="11"/>
        <w:jc w:val="both"/>
        <w:rPr>
          <w:rFonts w:asciiTheme="majorHAnsi" w:eastAsia="Arial Unicode MS" w:hAnsiTheme="majorHAnsi" w:cstheme="majorHAnsi"/>
          <w:bCs/>
          <w:color w:val="auto"/>
          <w:sz w:val="20"/>
          <w:szCs w:val="20"/>
          <w:lang w:val="es-BO"/>
        </w:rPr>
      </w:pPr>
      <w:r w:rsidRPr="000753B2">
        <w:rPr>
          <w:rFonts w:asciiTheme="majorHAnsi" w:eastAsia="Arial Unicode MS" w:hAnsiTheme="majorHAnsi" w:cstheme="majorHAnsi"/>
          <w:bCs/>
          <w:color w:val="auto"/>
          <w:sz w:val="20"/>
          <w:szCs w:val="20"/>
          <w:lang w:val="es-BO"/>
        </w:rPr>
        <w:t>2.- Una carta de intención donde incluya una propuesta económica en moneda local (bolivianos) expresado como monto total por la consultoría incluyendo honorarios profesionales</w:t>
      </w:r>
      <w:r>
        <w:rPr>
          <w:rFonts w:asciiTheme="majorHAnsi" w:eastAsia="Arial Unicode MS" w:hAnsiTheme="majorHAnsi" w:cstheme="majorHAnsi"/>
          <w:bCs/>
          <w:color w:val="auto"/>
          <w:sz w:val="20"/>
          <w:szCs w:val="20"/>
          <w:lang w:val="es-BO"/>
        </w:rPr>
        <w:t xml:space="preserve"> </w:t>
      </w:r>
      <w:r w:rsidRPr="000753B2">
        <w:rPr>
          <w:rFonts w:asciiTheme="majorHAnsi" w:eastAsia="Arial Unicode MS" w:hAnsiTheme="majorHAnsi" w:cstheme="majorHAnsi"/>
          <w:bCs/>
          <w:color w:val="auto"/>
          <w:sz w:val="20"/>
          <w:szCs w:val="20"/>
          <w:lang w:val="es-BO"/>
        </w:rPr>
        <w:t xml:space="preserve">y emisión de factura por cada monto desembolsado en el contrato.  </w:t>
      </w:r>
    </w:p>
    <w:p w14:paraId="7998CC68" w14:textId="77777777" w:rsidR="002529B1" w:rsidRPr="000753B2" w:rsidRDefault="002529B1" w:rsidP="002529B1">
      <w:pPr>
        <w:pStyle w:val="Default"/>
        <w:spacing w:after="11"/>
        <w:jc w:val="both"/>
        <w:rPr>
          <w:rFonts w:asciiTheme="majorHAnsi" w:eastAsia="Arial Unicode MS" w:hAnsiTheme="majorHAnsi" w:cstheme="majorHAnsi"/>
          <w:bCs/>
          <w:color w:val="auto"/>
          <w:sz w:val="20"/>
          <w:szCs w:val="20"/>
          <w:lang w:val="es-BO"/>
        </w:rPr>
      </w:pPr>
    </w:p>
    <w:p w14:paraId="75E69881" w14:textId="77777777" w:rsidR="002529B1" w:rsidRPr="000753B2" w:rsidRDefault="002529B1" w:rsidP="002529B1">
      <w:pPr>
        <w:pStyle w:val="Default"/>
        <w:spacing w:after="11"/>
        <w:jc w:val="both"/>
        <w:rPr>
          <w:rFonts w:asciiTheme="majorHAnsi" w:eastAsia="Arial Unicode MS" w:hAnsiTheme="majorHAnsi" w:cstheme="majorHAnsi"/>
          <w:bCs/>
          <w:color w:val="auto"/>
          <w:sz w:val="20"/>
          <w:szCs w:val="20"/>
          <w:lang w:val="es-BO"/>
        </w:rPr>
      </w:pPr>
      <w:r w:rsidRPr="000753B2">
        <w:rPr>
          <w:rFonts w:asciiTheme="majorHAnsi" w:eastAsia="Arial Unicode MS" w:hAnsiTheme="majorHAnsi" w:cstheme="majorHAnsi"/>
          <w:bCs/>
          <w:color w:val="auto"/>
          <w:sz w:val="20"/>
          <w:szCs w:val="20"/>
          <w:lang w:val="es-BO"/>
        </w:rPr>
        <w:t xml:space="preserve">La modalidad del contrato es Lump Sum, es decir que el monto del contrato incluye honorarios y </w:t>
      </w:r>
      <w:r>
        <w:rPr>
          <w:rFonts w:asciiTheme="majorHAnsi" w:eastAsia="Arial Unicode MS" w:hAnsiTheme="majorHAnsi" w:cstheme="majorHAnsi"/>
          <w:bCs/>
          <w:color w:val="auto"/>
          <w:sz w:val="20"/>
          <w:szCs w:val="20"/>
          <w:lang w:val="es-BO"/>
        </w:rPr>
        <w:t xml:space="preserve">todos los gastos vinculados a la consultoría, </w:t>
      </w:r>
      <w:r w:rsidRPr="000753B2">
        <w:rPr>
          <w:rFonts w:asciiTheme="majorHAnsi" w:eastAsia="Arial Unicode MS" w:hAnsiTheme="majorHAnsi" w:cstheme="majorHAnsi"/>
          <w:bCs/>
          <w:color w:val="auto"/>
          <w:sz w:val="20"/>
          <w:szCs w:val="20"/>
          <w:lang w:val="es-BO"/>
        </w:rPr>
        <w:t>cada desembolso debe ser respaldado por una factura propia emitida por el consultor, por lo tanto en su presupuesto debe considerar el monto correspondiente al pago de impuestos</w:t>
      </w:r>
      <w:r>
        <w:rPr>
          <w:rFonts w:asciiTheme="majorHAnsi" w:eastAsia="Arial Unicode MS" w:hAnsiTheme="majorHAnsi" w:cstheme="majorHAnsi"/>
          <w:bCs/>
          <w:color w:val="auto"/>
          <w:sz w:val="20"/>
          <w:szCs w:val="20"/>
          <w:lang w:val="es-BO"/>
        </w:rPr>
        <w:t xml:space="preserve"> y cualquier otro concepto que el candidato considere apropiado.</w:t>
      </w:r>
    </w:p>
    <w:p w14:paraId="2A758E44" w14:textId="77777777" w:rsidR="002529B1" w:rsidRPr="000753B2" w:rsidRDefault="002529B1" w:rsidP="002529B1">
      <w:pPr>
        <w:pStyle w:val="Default"/>
        <w:spacing w:after="11"/>
        <w:jc w:val="both"/>
        <w:rPr>
          <w:rFonts w:asciiTheme="majorHAnsi" w:eastAsia="Arial Unicode MS" w:hAnsiTheme="majorHAnsi" w:cstheme="majorHAnsi"/>
          <w:bCs/>
          <w:color w:val="auto"/>
          <w:sz w:val="20"/>
          <w:szCs w:val="20"/>
          <w:lang w:val="es-BO"/>
        </w:rPr>
      </w:pPr>
    </w:p>
    <w:p w14:paraId="7ADF94DA" w14:textId="77777777" w:rsidR="002529B1" w:rsidRPr="000753B2" w:rsidRDefault="002529B1" w:rsidP="002529B1">
      <w:pPr>
        <w:ind w:left="0" w:firstLine="0"/>
        <w:rPr>
          <w:rFonts w:asciiTheme="majorHAnsi" w:eastAsia="Arial Unicode MS" w:hAnsiTheme="majorHAnsi" w:cstheme="majorHAnsi"/>
          <w:bCs/>
          <w:color w:val="auto"/>
          <w:lang w:val="es-BO"/>
        </w:rPr>
      </w:pPr>
      <w:r w:rsidRPr="000753B2">
        <w:rPr>
          <w:rFonts w:asciiTheme="majorHAnsi" w:eastAsia="Arial Unicode MS" w:hAnsiTheme="majorHAnsi" w:cstheme="majorHAnsi"/>
          <w:bCs/>
          <w:color w:val="auto"/>
          <w:lang w:val="es-BO"/>
        </w:rPr>
        <w:t>El candidato ganador del proceso deberá contar con un Seguro de Salud con cobertura de atención de consulta externa y hospitalización, UNICEF no tiene preferencia por ningún seguro en particular, puede ser público o privado, ser titular o beneficiario. Si el candidato no cuenta actualmente con un seguro de salud, es recomendable que incluya este costo en su presupuesto.</w:t>
      </w:r>
    </w:p>
    <w:p w14:paraId="6E5E5A57" w14:textId="77777777" w:rsidR="002529B1" w:rsidRPr="00EC5294" w:rsidRDefault="002529B1" w:rsidP="002529B1">
      <w:pPr>
        <w:pStyle w:val="Default"/>
        <w:jc w:val="both"/>
        <w:rPr>
          <w:rFonts w:ascii="Calibri" w:eastAsia="Calibri" w:hAnsi="Calibri" w:cs="Calibri"/>
          <w:b/>
          <w:bCs/>
          <w:color w:val="auto"/>
          <w:sz w:val="26"/>
          <w:szCs w:val="26"/>
          <w:lang w:val="es-ES"/>
        </w:rPr>
      </w:pPr>
      <w:r w:rsidRPr="00EC5294">
        <w:rPr>
          <w:rFonts w:ascii="Calibri" w:eastAsia="Calibri" w:hAnsi="Calibri" w:cs="Calibri"/>
          <w:b/>
          <w:bCs/>
          <w:color w:val="auto"/>
          <w:sz w:val="26"/>
          <w:szCs w:val="26"/>
          <w:lang w:val="es-ES"/>
        </w:rPr>
        <w:lastRenderedPageBreak/>
        <w:br/>
        <w:t xml:space="preserve">CONSIDERACIONES ADMINISTRATIVAS IMPORTANTES:  </w:t>
      </w:r>
    </w:p>
    <w:p w14:paraId="34BCB238" w14:textId="77777777" w:rsidR="002529B1" w:rsidRPr="00EC5294" w:rsidRDefault="002529B1" w:rsidP="002529B1">
      <w:pPr>
        <w:pStyle w:val="Default"/>
        <w:jc w:val="both"/>
        <w:rPr>
          <w:rFonts w:ascii="Calibri" w:eastAsia="Calibri" w:hAnsi="Calibri" w:cs="Calibri"/>
          <w:color w:val="auto"/>
          <w:sz w:val="22"/>
          <w:szCs w:val="22"/>
          <w:lang w:val="es-ES"/>
        </w:rPr>
      </w:pPr>
    </w:p>
    <w:p w14:paraId="460DD680" w14:textId="77777777" w:rsidR="002529B1" w:rsidRPr="00F33758" w:rsidRDefault="002529B1" w:rsidP="002529B1">
      <w:pPr>
        <w:pStyle w:val="Default"/>
        <w:numPr>
          <w:ilvl w:val="0"/>
          <w:numId w:val="7"/>
        </w:numPr>
        <w:spacing w:after="11"/>
        <w:jc w:val="both"/>
        <w:rPr>
          <w:rFonts w:asciiTheme="majorHAnsi" w:eastAsia="Arial Unicode MS" w:hAnsiTheme="majorHAnsi" w:cstheme="majorHAnsi"/>
          <w:bCs/>
          <w:color w:val="auto"/>
          <w:sz w:val="20"/>
          <w:szCs w:val="20"/>
          <w:lang w:val="es-BO"/>
        </w:rPr>
      </w:pPr>
      <w:r w:rsidRPr="000753B2">
        <w:rPr>
          <w:rFonts w:asciiTheme="majorHAnsi" w:eastAsia="Arial Unicode MS" w:hAnsiTheme="majorHAnsi" w:cstheme="majorHAnsi"/>
          <w:bCs/>
          <w:color w:val="auto"/>
          <w:sz w:val="20"/>
          <w:szCs w:val="20"/>
          <w:lang w:val="es-BO"/>
        </w:rPr>
        <w:t xml:space="preserve">La emisión de factura es obligatoria por cada monto desembolsado. UNICEF solo recibe facturas emitidas por el consultor, no son recibidas facturas emitidas por otras personas o instituciones, tampoco formularios u otros descargos de pago de impuestos. Los consultores son responsables de cumplir con todas las obligaciones tributarias, de acuerdo </w:t>
      </w:r>
      <w:r w:rsidRPr="00F33758">
        <w:rPr>
          <w:rFonts w:asciiTheme="majorHAnsi" w:eastAsia="Arial Unicode MS" w:hAnsiTheme="majorHAnsi" w:cstheme="majorHAnsi"/>
          <w:bCs/>
          <w:color w:val="auto"/>
          <w:sz w:val="20"/>
          <w:szCs w:val="20"/>
          <w:lang w:val="es-BO"/>
        </w:rPr>
        <w:t>con las leyes bolivianas y todas las normas aplicables. UNICEF promueve el cumplimiento de todas las leyes tributarias bolivianas relacionadas con la prestación de servicios de sus consultorías.</w:t>
      </w:r>
    </w:p>
    <w:p w14:paraId="1BEAC345" w14:textId="77777777" w:rsidR="002529B1" w:rsidRPr="000753B2" w:rsidRDefault="002529B1" w:rsidP="002529B1">
      <w:pPr>
        <w:pStyle w:val="Default"/>
        <w:spacing w:after="11"/>
        <w:jc w:val="both"/>
        <w:rPr>
          <w:rFonts w:asciiTheme="majorHAnsi" w:eastAsia="Arial Unicode MS" w:hAnsiTheme="majorHAnsi" w:cstheme="majorHAnsi"/>
          <w:bCs/>
          <w:color w:val="auto"/>
          <w:sz w:val="20"/>
          <w:szCs w:val="20"/>
          <w:lang w:val="es-BO"/>
        </w:rPr>
      </w:pPr>
    </w:p>
    <w:p w14:paraId="1851EE95" w14:textId="77777777" w:rsidR="002529B1" w:rsidRPr="000753B2" w:rsidRDefault="002529B1" w:rsidP="002529B1">
      <w:pPr>
        <w:pStyle w:val="Default"/>
        <w:numPr>
          <w:ilvl w:val="0"/>
          <w:numId w:val="7"/>
        </w:numPr>
        <w:spacing w:after="11"/>
        <w:jc w:val="both"/>
        <w:rPr>
          <w:rFonts w:asciiTheme="majorHAnsi" w:eastAsia="Arial Unicode MS" w:hAnsiTheme="majorHAnsi" w:cstheme="majorHAnsi"/>
          <w:bCs/>
          <w:color w:val="auto"/>
          <w:sz w:val="20"/>
          <w:szCs w:val="20"/>
          <w:lang w:val="es-BO"/>
        </w:rPr>
      </w:pPr>
      <w:r w:rsidRPr="000753B2">
        <w:rPr>
          <w:rFonts w:asciiTheme="majorHAnsi" w:eastAsia="Arial Unicode MS" w:hAnsiTheme="majorHAnsi" w:cstheme="majorHAnsi"/>
          <w:bCs/>
          <w:color w:val="auto"/>
          <w:sz w:val="20"/>
          <w:szCs w:val="20"/>
          <w:lang w:val="es-BO"/>
        </w:rPr>
        <w:t>Las personas contratadas en virtud de un contrato de consultor no se considerarán “miembros del personal” en virtud del Estatuto y Reglamento para el Personal de las Naciones Unidas y las políticas y procedimientos de UNICEF, y no tendrán derecho a las prestaciones previstas en el mismo (tales como, licencias y cobertura del seguro médico). Sus condiciones de servicio se regirán por su contrato y las Condiciones Generales de Contratación de Servicios de Consultores. Los consultores son responsables de determinar sus obligaciones tributarias y del pago de cualquier impuesto y/o tasa, de acuerdo con las leyes locales u otras leyes aplicables.</w:t>
      </w:r>
    </w:p>
    <w:p w14:paraId="1A3A8CAB" w14:textId="77777777" w:rsidR="002529B1" w:rsidRPr="000753B2" w:rsidRDefault="002529B1" w:rsidP="002529B1">
      <w:pPr>
        <w:pStyle w:val="ListParagraph"/>
        <w:tabs>
          <w:tab w:val="left" w:pos="450"/>
        </w:tabs>
        <w:ind w:left="0"/>
        <w:rPr>
          <w:rFonts w:asciiTheme="majorHAnsi" w:eastAsia="Arial Unicode MS" w:hAnsiTheme="majorHAnsi" w:cstheme="majorHAnsi"/>
          <w:bCs/>
          <w:color w:val="auto"/>
          <w:lang w:val="es-BO"/>
        </w:rPr>
      </w:pPr>
    </w:p>
    <w:p w14:paraId="53333AFC" w14:textId="77777777" w:rsidR="002529B1" w:rsidRDefault="002529B1" w:rsidP="002529B1">
      <w:pPr>
        <w:pStyle w:val="Default"/>
        <w:numPr>
          <w:ilvl w:val="0"/>
          <w:numId w:val="7"/>
        </w:numPr>
        <w:spacing w:after="11"/>
        <w:jc w:val="both"/>
        <w:rPr>
          <w:rFonts w:asciiTheme="majorHAnsi" w:eastAsia="Arial Unicode MS" w:hAnsiTheme="majorHAnsi" w:cstheme="majorHAnsi"/>
          <w:bCs/>
          <w:color w:val="auto"/>
          <w:sz w:val="20"/>
          <w:szCs w:val="20"/>
          <w:lang w:val="es-BO"/>
        </w:rPr>
      </w:pPr>
      <w:r w:rsidRPr="000753B2">
        <w:rPr>
          <w:rFonts w:asciiTheme="majorHAnsi" w:eastAsia="Arial Unicode MS" w:hAnsiTheme="majorHAnsi" w:cstheme="majorHAnsi"/>
          <w:bCs/>
          <w:color w:val="auto"/>
          <w:sz w:val="20"/>
          <w:szCs w:val="20"/>
          <w:lang w:val="es-BO"/>
        </w:rPr>
        <w:t>Todos los consultores que prestan servicios en instalaciones de UNICEF, viajan en nombre de UNICEF o requieren acceso a los lugares de ejecución de los programas deben contar con el esquema completo de vacunación contra el SARS-CoV-2 (Covid-19) con una vacuna respaldada por la Organización Mundial de la Salud (OMS), de acuerdo a la disponibilidad del país de servicio.  Esta disposición está en línea con nuestro valor fundamental de crítico de Cuidado y Respeto en acción por su propia salud y cuidado personal, por la salud de los compañeros con los que trabaja y al mandato de UNICEF de proteger los derechos fundamentales de los niños, especialmente su derecho a la salud.</w:t>
      </w:r>
    </w:p>
    <w:p w14:paraId="6F6ABE98" w14:textId="77777777" w:rsidR="002529B1" w:rsidRDefault="002529B1" w:rsidP="002529B1">
      <w:pPr>
        <w:pStyle w:val="ListParagraph"/>
        <w:rPr>
          <w:rFonts w:asciiTheme="majorHAnsi" w:eastAsia="Arial Unicode MS" w:hAnsiTheme="majorHAnsi" w:cstheme="majorHAnsi"/>
          <w:bCs/>
          <w:color w:val="auto"/>
          <w:lang w:val="es-BO"/>
        </w:rPr>
      </w:pPr>
    </w:p>
    <w:p w14:paraId="6D1EC062" w14:textId="77777777" w:rsidR="002529B1" w:rsidRPr="008E72D7" w:rsidRDefault="002529B1" w:rsidP="002529B1">
      <w:pPr>
        <w:pStyle w:val="Default"/>
        <w:numPr>
          <w:ilvl w:val="0"/>
          <w:numId w:val="7"/>
        </w:numPr>
        <w:spacing w:after="11"/>
        <w:jc w:val="both"/>
        <w:rPr>
          <w:rFonts w:asciiTheme="majorHAnsi" w:eastAsia="Arial Unicode MS" w:hAnsiTheme="majorHAnsi" w:cstheme="majorHAnsi"/>
          <w:bCs/>
          <w:color w:val="auto"/>
          <w:sz w:val="20"/>
          <w:szCs w:val="20"/>
          <w:lang w:val="es-BO"/>
        </w:rPr>
      </w:pPr>
      <w:r w:rsidRPr="008E72D7">
        <w:rPr>
          <w:rFonts w:asciiTheme="majorHAnsi" w:eastAsia="Arial Unicode MS" w:hAnsiTheme="majorHAnsi" w:cstheme="majorHAnsi"/>
          <w:bCs/>
          <w:color w:val="auto"/>
          <w:sz w:val="20"/>
          <w:szCs w:val="20"/>
          <w:lang w:val="es-BO"/>
        </w:rPr>
        <w:t xml:space="preserve">La vacunación completa incluye las dosis iniciales de la vacuna, además de estar "al día" con las vacunas recomendadas; por ejemplo, cuando estos incluyen vacunas de "refuerzo". La cantidad y los tipos de vacunas requeridas para cumplir con el requisito de vacunación completa pueden depender del contexto local y la disponibilidad en el lugar de destino, misión o área de asignación correspondiente, así como también de las indicaciones y recomendaciones del fabricante de la vacuna o de la Organización Mundial de la Salud.   La vacunación contra el SARS-CoV-2 (Covid-19) debe cumplirse antes del inicio del contrato. </w:t>
      </w:r>
    </w:p>
    <w:p w14:paraId="4FC7507C" w14:textId="77777777" w:rsidR="002529B1" w:rsidRPr="000753B2" w:rsidRDefault="002529B1" w:rsidP="002529B1">
      <w:pPr>
        <w:rPr>
          <w:rFonts w:asciiTheme="majorHAnsi" w:eastAsia="Arial Unicode MS" w:hAnsiTheme="majorHAnsi" w:cstheme="majorHAnsi"/>
          <w:bCs/>
          <w:color w:val="auto"/>
          <w:lang w:val="es-BO"/>
        </w:rPr>
      </w:pPr>
    </w:p>
    <w:p w14:paraId="2C6779A4" w14:textId="77777777" w:rsidR="002529B1" w:rsidRPr="000753B2" w:rsidRDefault="002529B1" w:rsidP="002529B1">
      <w:pPr>
        <w:pStyle w:val="Default"/>
        <w:numPr>
          <w:ilvl w:val="0"/>
          <w:numId w:val="7"/>
        </w:numPr>
        <w:spacing w:after="11"/>
        <w:jc w:val="both"/>
        <w:rPr>
          <w:rFonts w:asciiTheme="majorHAnsi" w:eastAsia="Arial Unicode MS" w:hAnsiTheme="majorHAnsi" w:cstheme="majorHAnsi"/>
          <w:bCs/>
          <w:color w:val="auto"/>
          <w:sz w:val="20"/>
          <w:szCs w:val="20"/>
          <w:lang w:val="es-BO"/>
        </w:rPr>
      </w:pPr>
      <w:r w:rsidRPr="000753B2">
        <w:rPr>
          <w:rFonts w:asciiTheme="majorHAnsi" w:eastAsia="Arial Unicode MS" w:hAnsiTheme="majorHAnsi" w:cstheme="majorHAnsi"/>
          <w:bCs/>
          <w:color w:val="auto"/>
          <w:sz w:val="20"/>
          <w:szCs w:val="20"/>
          <w:lang w:val="es-BO"/>
        </w:rPr>
        <w:t xml:space="preserve">El candidato adjudicado deberá contar con una cuenta bancaria en bolivianos a nombre suyo y deberá proveer a la oficina la información mínima para su registro en el sistema contable. Asimismo, antes de iniciar sus tareas deberá realizar la capacitación online mandatoria de acuerdo con la normativa de la organización. </w:t>
      </w:r>
    </w:p>
    <w:p w14:paraId="18B26531" w14:textId="77777777" w:rsidR="002529B1" w:rsidRPr="000753B2" w:rsidRDefault="002529B1" w:rsidP="002529B1">
      <w:pPr>
        <w:pStyle w:val="Default"/>
        <w:spacing w:after="11"/>
        <w:ind w:left="720"/>
        <w:jc w:val="both"/>
        <w:rPr>
          <w:rFonts w:asciiTheme="majorHAnsi" w:eastAsia="Arial Unicode MS" w:hAnsiTheme="majorHAnsi" w:cstheme="majorHAnsi"/>
          <w:bCs/>
          <w:color w:val="auto"/>
          <w:sz w:val="20"/>
          <w:szCs w:val="20"/>
          <w:lang w:val="es-BO"/>
        </w:rPr>
      </w:pPr>
    </w:p>
    <w:p w14:paraId="0EE0CFC3" w14:textId="77777777" w:rsidR="002529B1" w:rsidRPr="000753B2" w:rsidRDefault="002529B1" w:rsidP="002529B1">
      <w:pPr>
        <w:pStyle w:val="Default"/>
        <w:numPr>
          <w:ilvl w:val="0"/>
          <w:numId w:val="7"/>
        </w:numPr>
        <w:spacing w:after="11"/>
        <w:jc w:val="both"/>
        <w:rPr>
          <w:rFonts w:asciiTheme="majorHAnsi" w:eastAsia="Arial Unicode MS" w:hAnsiTheme="majorHAnsi" w:cstheme="majorHAnsi"/>
          <w:bCs/>
          <w:color w:val="auto"/>
          <w:sz w:val="20"/>
          <w:szCs w:val="20"/>
          <w:lang w:val="es-BO"/>
        </w:rPr>
      </w:pPr>
      <w:r w:rsidRPr="000753B2">
        <w:rPr>
          <w:rFonts w:asciiTheme="majorHAnsi" w:eastAsia="Arial Unicode MS" w:hAnsiTheme="majorHAnsi" w:cstheme="majorHAnsi"/>
          <w:bCs/>
          <w:color w:val="auto"/>
          <w:sz w:val="20"/>
          <w:szCs w:val="20"/>
          <w:lang w:val="es-BO"/>
        </w:rPr>
        <w:t xml:space="preserve">Asimismo, el pago al Fondo de Pensiones es responsabilidad exclusiva del consultor conforme a la normativa impositiva establecida en Bolivia; UNICEF no solicitará la constancia del aporte para ningún desembolso. </w:t>
      </w:r>
    </w:p>
    <w:p w14:paraId="618F1FD7" w14:textId="77777777" w:rsidR="002529B1" w:rsidRPr="000753B2" w:rsidRDefault="002529B1" w:rsidP="002529B1">
      <w:pPr>
        <w:pStyle w:val="Default"/>
        <w:spacing w:after="11"/>
        <w:ind w:left="720"/>
        <w:jc w:val="both"/>
        <w:rPr>
          <w:rFonts w:asciiTheme="majorHAnsi" w:eastAsia="Arial Unicode MS" w:hAnsiTheme="majorHAnsi" w:cstheme="majorHAnsi"/>
          <w:bCs/>
          <w:color w:val="auto"/>
          <w:sz w:val="20"/>
          <w:szCs w:val="20"/>
          <w:lang w:val="es-BO"/>
        </w:rPr>
      </w:pPr>
    </w:p>
    <w:p w14:paraId="4AC55731" w14:textId="77777777" w:rsidR="002529B1" w:rsidRPr="000753B2" w:rsidRDefault="002529B1" w:rsidP="002529B1">
      <w:pPr>
        <w:pStyle w:val="Default"/>
        <w:numPr>
          <w:ilvl w:val="0"/>
          <w:numId w:val="7"/>
        </w:numPr>
        <w:spacing w:after="11"/>
        <w:jc w:val="both"/>
        <w:rPr>
          <w:rFonts w:asciiTheme="majorHAnsi" w:eastAsia="Arial Unicode MS" w:hAnsiTheme="majorHAnsi" w:cstheme="majorHAnsi"/>
          <w:bCs/>
          <w:color w:val="auto"/>
          <w:sz w:val="20"/>
          <w:szCs w:val="20"/>
          <w:lang w:val="es-BO"/>
        </w:rPr>
      </w:pPr>
      <w:r w:rsidRPr="000753B2">
        <w:rPr>
          <w:rFonts w:asciiTheme="majorHAnsi" w:eastAsia="Arial Unicode MS" w:hAnsiTheme="majorHAnsi" w:cstheme="majorHAnsi"/>
          <w:bCs/>
          <w:color w:val="auto"/>
          <w:sz w:val="20"/>
          <w:szCs w:val="20"/>
          <w:lang w:val="es-BO"/>
        </w:rPr>
        <w:t xml:space="preserve">El consultor entregará los productos y reportes acordados en medio electrónico en lenguaje universalmente aceptable y en copia dura si así lo requiere la organización. Los gastos de emisión y entrega de estos productos/reportes, correrán por cuenta del consultor. </w:t>
      </w:r>
    </w:p>
    <w:p w14:paraId="0FAED5B6" w14:textId="77777777" w:rsidR="002529B1" w:rsidRPr="000753B2" w:rsidRDefault="002529B1" w:rsidP="002529B1">
      <w:pPr>
        <w:pStyle w:val="Default"/>
        <w:spacing w:after="11"/>
        <w:ind w:left="720"/>
        <w:jc w:val="both"/>
        <w:rPr>
          <w:rFonts w:asciiTheme="majorHAnsi" w:eastAsia="Arial Unicode MS" w:hAnsiTheme="majorHAnsi" w:cstheme="majorHAnsi"/>
          <w:bCs/>
          <w:color w:val="auto"/>
          <w:sz w:val="20"/>
          <w:szCs w:val="20"/>
          <w:lang w:val="es-BO"/>
        </w:rPr>
      </w:pPr>
    </w:p>
    <w:p w14:paraId="4149519A" w14:textId="77777777" w:rsidR="002529B1" w:rsidRPr="000753B2" w:rsidRDefault="002529B1" w:rsidP="002529B1">
      <w:pPr>
        <w:pStyle w:val="Default"/>
        <w:numPr>
          <w:ilvl w:val="0"/>
          <w:numId w:val="7"/>
        </w:numPr>
        <w:spacing w:after="11"/>
        <w:jc w:val="both"/>
        <w:rPr>
          <w:rFonts w:asciiTheme="majorHAnsi" w:eastAsia="Arial Unicode MS" w:hAnsiTheme="majorHAnsi" w:cstheme="majorHAnsi"/>
          <w:bCs/>
          <w:color w:val="auto"/>
          <w:sz w:val="20"/>
          <w:szCs w:val="20"/>
          <w:lang w:val="es-BO"/>
        </w:rPr>
      </w:pPr>
      <w:r w:rsidRPr="000753B2">
        <w:rPr>
          <w:rFonts w:asciiTheme="majorHAnsi" w:eastAsia="Arial Unicode MS" w:hAnsiTheme="majorHAnsi" w:cstheme="majorHAnsi"/>
          <w:bCs/>
          <w:color w:val="auto"/>
          <w:sz w:val="20"/>
          <w:szCs w:val="20"/>
          <w:lang w:val="es-BO"/>
        </w:rPr>
        <w:t>El proceso de pagos tiene una duración aproximada de dos semanas, a partir de la aprobación del producto.</w:t>
      </w:r>
    </w:p>
    <w:p w14:paraId="34CC5A69" w14:textId="77777777" w:rsidR="002529B1" w:rsidRPr="000753B2" w:rsidRDefault="002529B1" w:rsidP="002529B1">
      <w:pPr>
        <w:tabs>
          <w:tab w:val="left" w:pos="4968"/>
        </w:tabs>
        <w:rPr>
          <w:rFonts w:asciiTheme="majorHAnsi" w:eastAsia="Arial Unicode MS" w:hAnsiTheme="majorHAnsi" w:cstheme="majorHAnsi"/>
          <w:bCs/>
          <w:color w:val="auto"/>
          <w:lang w:val="es-BO"/>
        </w:rPr>
      </w:pPr>
    </w:p>
    <w:p w14:paraId="1EB54357" w14:textId="77777777" w:rsidR="002529B1" w:rsidRPr="000753B2" w:rsidRDefault="002529B1" w:rsidP="002529B1">
      <w:pPr>
        <w:tabs>
          <w:tab w:val="left" w:pos="4968"/>
        </w:tabs>
        <w:rPr>
          <w:rFonts w:asciiTheme="majorHAnsi" w:eastAsia="Arial Unicode MS" w:hAnsiTheme="majorHAnsi" w:cstheme="majorHAnsi"/>
          <w:bCs/>
          <w:color w:val="auto"/>
          <w:lang w:val="es-BO"/>
        </w:rPr>
      </w:pPr>
    </w:p>
    <w:p w14:paraId="2AE5283D" w14:textId="77777777" w:rsidR="002529B1" w:rsidRPr="008E72D7" w:rsidRDefault="002529B1" w:rsidP="002529B1">
      <w:pPr>
        <w:rPr>
          <w:rFonts w:asciiTheme="majorHAnsi" w:eastAsia="Arial Unicode MS" w:hAnsiTheme="majorHAnsi" w:cstheme="majorHAnsi"/>
          <w:b/>
          <w:color w:val="auto"/>
          <w:lang w:val="es-BO"/>
        </w:rPr>
      </w:pPr>
      <w:r w:rsidRPr="008E72D7">
        <w:rPr>
          <w:rFonts w:asciiTheme="majorHAnsi" w:eastAsia="Arial Unicode MS" w:hAnsiTheme="majorHAnsi" w:cstheme="majorHAnsi"/>
          <w:b/>
          <w:color w:val="auto"/>
          <w:lang w:val="es-BO"/>
        </w:rPr>
        <w:t>OBSERVACIONES IMPORTANTES:</w:t>
      </w:r>
    </w:p>
    <w:p w14:paraId="34457883" w14:textId="77777777" w:rsidR="002529B1" w:rsidRPr="000753B2" w:rsidRDefault="002529B1" w:rsidP="002529B1">
      <w:pPr>
        <w:rPr>
          <w:rFonts w:asciiTheme="majorHAnsi" w:eastAsia="Arial Unicode MS" w:hAnsiTheme="majorHAnsi" w:cstheme="majorHAnsi"/>
          <w:bCs/>
          <w:color w:val="auto"/>
          <w:lang w:val="es-BO"/>
        </w:rPr>
      </w:pPr>
    </w:p>
    <w:p w14:paraId="682D16F3" w14:textId="77777777" w:rsidR="002529B1" w:rsidRPr="008E72D7" w:rsidRDefault="002529B1" w:rsidP="002529B1">
      <w:pPr>
        <w:spacing w:line="240" w:lineRule="auto"/>
        <w:rPr>
          <w:rFonts w:asciiTheme="majorHAnsi" w:eastAsia="Arial Unicode MS" w:hAnsiTheme="majorHAnsi" w:cstheme="majorHAnsi"/>
          <w:b/>
          <w:color w:val="auto"/>
          <w:lang w:val="es-BO"/>
        </w:rPr>
      </w:pPr>
      <w:r w:rsidRPr="008E72D7">
        <w:rPr>
          <w:rFonts w:asciiTheme="majorHAnsi" w:eastAsia="Arial Unicode MS" w:hAnsiTheme="majorHAnsi" w:cstheme="majorHAnsi"/>
          <w:b/>
          <w:color w:val="auto"/>
          <w:lang w:val="es-BO"/>
        </w:rPr>
        <w:t>Sólo los candidatos preseleccionados serán contactados y avanzarán a la siguiente etapa del proceso de selección.</w:t>
      </w:r>
    </w:p>
    <w:p w14:paraId="24D64E8E" w14:textId="77777777" w:rsidR="002529B1" w:rsidRPr="000753B2" w:rsidRDefault="002529B1" w:rsidP="002529B1">
      <w:pPr>
        <w:rPr>
          <w:rFonts w:asciiTheme="majorHAnsi" w:eastAsia="Arial Unicode MS" w:hAnsiTheme="majorHAnsi" w:cstheme="majorHAnsi"/>
          <w:bCs/>
          <w:color w:val="auto"/>
          <w:lang w:val="es-BO"/>
        </w:rPr>
      </w:pPr>
    </w:p>
    <w:p w14:paraId="4C90751A" w14:textId="77777777" w:rsidR="002529B1" w:rsidRPr="000753B2" w:rsidRDefault="002529B1" w:rsidP="002529B1">
      <w:pPr>
        <w:spacing w:line="240" w:lineRule="auto"/>
        <w:rPr>
          <w:rFonts w:asciiTheme="majorHAnsi" w:eastAsia="Arial Unicode MS" w:hAnsiTheme="majorHAnsi" w:cstheme="majorHAnsi"/>
          <w:bCs/>
          <w:color w:val="auto"/>
          <w:lang w:val="es-BO"/>
        </w:rPr>
      </w:pPr>
      <w:r w:rsidRPr="000753B2">
        <w:rPr>
          <w:rFonts w:asciiTheme="majorHAnsi" w:eastAsia="Arial Unicode MS" w:hAnsiTheme="majorHAnsi" w:cstheme="majorHAnsi"/>
          <w:bCs/>
          <w:color w:val="auto"/>
          <w:lang w:val="es-BO"/>
        </w:rPr>
        <w:t>UNICEF existe para servir a los niños y niñas más desfavorecidos del mundo y nuestra fuerza laboral global debe reflejar la diversidad de esos niños y niñas. UNICEF se compromete a incluir a todas las personas, independientemente de su raza/etnia, edad, discapacidad, identidad de género, orientación sexual, religión, nacionalidad, origen socioeconómico, o cualquier otra característica personal.</w:t>
      </w:r>
    </w:p>
    <w:p w14:paraId="5CE94647" w14:textId="77777777" w:rsidR="002529B1" w:rsidRPr="000753B2" w:rsidRDefault="002529B1" w:rsidP="002529B1">
      <w:pPr>
        <w:rPr>
          <w:rFonts w:asciiTheme="majorHAnsi" w:eastAsia="Arial Unicode MS" w:hAnsiTheme="majorHAnsi" w:cstheme="majorHAnsi"/>
          <w:bCs/>
          <w:color w:val="auto"/>
          <w:lang w:val="es-BO"/>
        </w:rPr>
      </w:pPr>
    </w:p>
    <w:p w14:paraId="7C39F7D8" w14:textId="77777777" w:rsidR="002529B1" w:rsidRPr="000753B2" w:rsidRDefault="002529B1" w:rsidP="002529B1">
      <w:pPr>
        <w:rPr>
          <w:rFonts w:asciiTheme="majorHAnsi" w:eastAsia="Arial Unicode MS" w:hAnsiTheme="majorHAnsi" w:cstheme="majorHAnsi"/>
          <w:bCs/>
          <w:color w:val="auto"/>
          <w:lang w:val="es-BO"/>
        </w:rPr>
      </w:pPr>
      <w:r w:rsidRPr="000753B2">
        <w:rPr>
          <w:rFonts w:asciiTheme="majorHAnsi" w:eastAsia="Arial Unicode MS" w:hAnsiTheme="majorHAnsi" w:cstheme="majorHAnsi"/>
          <w:bCs/>
          <w:color w:val="auto"/>
          <w:lang w:val="es-BO"/>
        </w:rPr>
        <w:lastRenderedPageBreak/>
        <w:t>UNICEF ofrece ajustes razonables para consultores con discapacidades. Esto puede incluir, por ejemplo, software accesible, asistencia en viaje para misiones o asistentes personales. Le animamos a que revele su discapacidad durante el proceso de solicitud en caso de necesitar adaptaciones razonables durante el proceso de selección y posteriormente en su asignación.</w:t>
      </w:r>
    </w:p>
    <w:p w14:paraId="56E60271" w14:textId="77777777" w:rsidR="002529B1" w:rsidRPr="000753B2" w:rsidRDefault="002529B1" w:rsidP="002529B1">
      <w:pPr>
        <w:rPr>
          <w:rFonts w:asciiTheme="majorHAnsi" w:eastAsia="Arial Unicode MS" w:hAnsiTheme="majorHAnsi" w:cstheme="majorHAnsi"/>
          <w:bCs/>
          <w:color w:val="auto"/>
          <w:lang w:val="es-BO"/>
        </w:rPr>
      </w:pPr>
    </w:p>
    <w:p w14:paraId="50F89552" w14:textId="77777777" w:rsidR="002529B1" w:rsidRPr="000753B2" w:rsidRDefault="002529B1" w:rsidP="002529B1">
      <w:pPr>
        <w:spacing w:line="240" w:lineRule="auto"/>
        <w:rPr>
          <w:rFonts w:asciiTheme="majorHAnsi" w:eastAsia="Arial Unicode MS" w:hAnsiTheme="majorHAnsi" w:cstheme="majorHAnsi"/>
          <w:bCs/>
          <w:color w:val="auto"/>
          <w:lang w:val="es-BO"/>
        </w:rPr>
      </w:pPr>
      <w:r w:rsidRPr="000753B2">
        <w:rPr>
          <w:rFonts w:asciiTheme="majorHAnsi" w:eastAsia="Arial Unicode MS" w:hAnsiTheme="majorHAnsi" w:cstheme="majorHAnsi"/>
          <w:bCs/>
          <w:color w:val="auto"/>
          <w:lang w:val="es-BO"/>
        </w:rPr>
        <w:t>UNICEF aplica una política de tolerancia cero ante conductas incompatibles con los fines y objetivos de las Naciones Unidas y de UNICEF, incluida la explotación y el abuso sexuales, el acoso sexual, el abuso de autoridad y la discriminación. UNICEF también se adhiere a estrictos principios de protección infantil. Se espera que todos los candidatos seleccionados se adhieran a estas normas y principios, por lo que serán sometidos a rigurosas verificaciones de referencias y antecedentes. Estas comprobaciones de antecedentes incluirán la verificación de credenciales académicas e historial laboral. Es posible que se solicite a los candidatos seleccionados proporcionar información adicional para llevar a cabo la verificación de antecedentes.</w:t>
      </w:r>
    </w:p>
    <w:p w14:paraId="6B8556AF" w14:textId="77777777" w:rsidR="002529B1" w:rsidRPr="00B10C63" w:rsidRDefault="002529B1" w:rsidP="002529B1">
      <w:pPr>
        <w:spacing w:after="0" w:line="259" w:lineRule="auto"/>
        <w:ind w:left="720" w:firstLine="0"/>
        <w:jc w:val="left"/>
        <w:rPr>
          <w:lang w:val="es-BO"/>
        </w:rPr>
      </w:pPr>
    </w:p>
    <w:p w14:paraId="27AF592B" w14:textId="77777777" w:rsidR="002529B1" w:rsidRPr="009F4733" w:rsidRDefault="002529B1" w:rsidP="00E736D5">
      <w:pPr>
        <w:ind w:left="0" w:firstLine="0"/>
        <w:rPr>
          <w:lang w:val="es-ES"/>
        </w:rPr>
      </w:pPr>
    </w:p>
    <w:sectPr w:rsidR="002529B1" w:rsidRPr="009F4733" w:rsidSect="00E736D5">
      <w:headerReference w:type="even" r:id="rId8"/>
      <w:headerReference w:type="default" r:id="rId9"/>
      <w:headerReference w:type="first" r:id="rId10"/>
      <w:pgSz w:w="11906" w:h="16838"/>
      <w:pgMar w:top="1440" w:right="922" w:bottom="1260" w:left="720" w:header="4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EAA3A" w14:textId="77777777" w:rsidR="000C3C8E" w:rsidRDefault="000C3C8E">
      <w:pPr>
        <w:spacing w:after="0" w:line="240" w:lineRule="auto"/>
      </w:pPr>
      <w:r>
        <w:separator/>
      </w:r>
    </w:p>
  </w:endnote>
  <w:endnote w:type="continuationSeparator" w:id="0">
    <w:p w14:paraId="7BF30EB0" w14:textId="77777777" w:rsidR="000C3C8E" w:rsidRDefault="000C3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C4FBE" w14:textId="77777777" w:rsidR="000C3C8E" w:rsidRDefault="000C3C8E">
      <w:pPr>
        <w:spacing w:after="0" w:line="259" w:lineRule="auto"/>
        <w:ind w:left="0" w:firstLine="0"/>
        <w:jc w:val="left"/>
      </w:pPr>
      <w:r>
        <w:separator/>
      </w:r>
    </w:p>
  </w:footnote>
  <w:footnote w:type="continuationSeparator" w:id="0">
    <w:p w14:paraId="190AE53A" w14:textId="77777777" w:rsidR="000C3C8E" w:rsidRDefault="000C3C8E">
      <w:pPr>
        <w:spacing w:after="0" w:line="259" w:lineRule="auto"/>
        <w:ind w:lef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62E3" w14:textId="77777777" w:rsidR="00F004E7" w:rsidRDefault="004F6EDF">
    <w:pPr>
      <w:spacing w:after="0" w:line="259" w:lineRule="auto"/>
      <w:ind w:left="-152" w:right="-86" w:firstLine="0"/>
      <w:jc w:val="right"/>
    </w:pPr>
    <w:r>
      <w:rPr>
        <w:noProof/>
        <w:sz w:val="22"/>
      </w:rPr>
      <mc:AlternateContent>
        <mc:Choice Requires="wpg">
          <w:drawing>
            <wp:anchor distT="0" distB="0" distL="114300" distR="114300" simplePos="0" relativeHeight="251658240" behindDoc="0" locked="0" layoutInCell="1" allowOverlap="1" wp14:anchorId="2F3C7B7B" wp14:editId="3E59E70A">
              <wp:simplePos x="0" y="0"/>
              <wp:positionH relativeFrom="page">
                <wp:posOffset>360679</wp:posOffset>
              </wp:positionH>
              <wp:positionV relativeFrom="page">
                <wp:posOffset>259714</wp:posOffset>
              </wp:positionV>
              <wp:extent cx="6073143" cy="497207"/>
              <wp:effectExtent l="0" t="0" r="0" b="0"/>
              <wp:wrapSquare wrapText="bothSides"/>
              <wp:docPr id="17421" name="Group 17421"/>
              <wp:cNvGraphicFramePr/>
              <a:graphic xmlns:a="http://schemas.openxmlformats.org/drawingml/2006/main">
                <a:graphicData uri="http://schemas.microsoft.com/office/word/2010/wordprocessingGroup">
                  <wpg:wgp>
                    <wpg:cNvGrpSpPr/>
                    <wpg:grpSpPr>
                      <a:xfrm>
                        <a:off x="0" y="0"/>
                        <a:ext cx="6073143" cy="497207"/>
                        <a:chOff x="0" y="0"/>
                        <a:chExt cx="6073143" cy="497207"/>
                      </a:xfrm>
                    </wpg:grpSpPr>
                    <wps:wsp>
                      <wps:cNvPr id="17422" name="Shape 17422"/>
                      <wps:cNvSpPr/>
                      <wps:spPr>
                        <a:xfrm>
                          <a:off x="91442" y="497207"/>
                          <a:ext cx="5981700" cy="0"/>
                        </a:xfrm>
                        <a:custGeom>
                          <a:avLst/>
                          <a:gdLst/>
                          <a:ahLst/>
                          <a:cxnLst/>
                          <a:rect l="0" t="0" r="0" b="0"/>
                          <a:pathLst>
                            <a:path w="5981700">
                              <a:moveTo>
                                <a:pt x="0" y="0"/>
                              </a:moveTo>
                              <a:lnTo>
                                <a:pt x="5981700" y="0"/>
                              </a:lnTo>
                            </a:path>
                          </a:pathLst>
                        </a:custGeom>
                        <a:ln w="9525" cap="flat">
                          <a:miter lim="101600"/>
                        </a:ln>
                      </wps:spPr>
                      <wps:style>
                        <a:lnRef idx="1">
                          <a:srgbClr val="A6A6A6"/>
                        </a:lnRef>
                        <a:fillRef idx="0">
                          <a:srgbClr val="000000">
                            <a:alpha val="0"/>
                          </a:srgbClr>
                        </a:fillRef>
                        <a:effectRef idx="0">
                          <a:scrgbClr r="0" g="0" b="0"/>
                        </a:effectRef>
                        <a:fontRef idx="none"/>
                      </wps:style>
                      <wps:bodyPr/>
                    </wps:wsp>
                    <pic:pic xmlns:pic="http://schemas.openxmlformats.org/drawingml/2006/picture">
                      <pic:nvPicPr>
                        <pic:cNvPr id="17423" name="Picture 17423"/>
                        <pic:cNvPicPr/>
                      </pic:nvPicPr>
                      <pic:blipFill>
                        <a:blip r:embed="rId1"/>
                        <a:stretch>
                          <a:fillRect/>
                        </a:stretch>
                      </pic:blipFill>
                      <pic:spPr>
                        <a:xfrm>
                          <a:off x="0" y="0"/>
                          <a:ext cx="2898140" cy="455930"/>
                        </a:xfrm>
                        <a:prstGeom prst="rect">
                          <a:avLst/>
                        </a:prstGeom>
                      </pic:spPr>
                    </pic:pic>
                  </wpg:wgp>
                </a:graphicData>
              </a:graphic>
            </wp:anchor>
          </w:drawing>
        </mc:Choice>
        <mc:Fallback xmlns:a="http://schemas.openxmlformats.org/drawingml/2006/main">
          <w:pict>
            <v:group id="Group 17421" style="width:478.2pt;height:39.1502pt;position:absolute;mso-position-horizontal-relative:page;mso-position-horizontal:absolute;margin-left:28.3999pt;mso-position-vertical-relative:page;margin-top:20.4499pt;" coordsize="60731,4972">
              <v:shape id="Shape 17422" style="position:absolute;width:59817;height:0;left:914;top:4972;" coordsize="5981700,0" path="m0,0l5981700,0">
                <v:stroke weight="0.75pt" endcap="flat" joinstyle="miter" miterlimit="8" on="true" color="#a6a6a6"/>
                <v:fill on="false" color="#000000" opacity="0"/>
              </v:shape>
              <v:shape id="Picture 17423" style="position:absolute;width:28981;height:4559;left:0;top:0;" filled="f">
                <v:imagedata r:id="rId11"/>
              </v:shape>
              <w10:wrap type="square"/>
            </v:group>
          </w:pict>
        </mc:Fallback>
      </mc:AlternateContent>
    </w:r>
    <w:r>
      <w:rPr>
        <w:rFonts w:ascii="Arial" w:eastAsia="Arial" w:hAnsi="Arial" w:cs="Arial"/>
        <w:b/>
        <w:color w:val="0099FF"/>
        <w:sz w:val="3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22995" w14:textId="77777777" w:rsidR="00F004E7" w:rsidRDefault="004F6EDF">
    <w:pPr>
      <w:spacing w:after="0" w:line="259" w:lineRule="auto"/>
      <w:ind w:left="-152" w:right="-86" w:firstLine="0"/>
      <w:jc w:val="right"/>
    </w:pPr>
    <w:r>
      <w:rPr>
        <w:noProof/>
        <w:sz w:val="22"/>
      </w:rPr>
      <mc:AlternateContent>
        <mc:Choice Requires="wpg">
          <w:drawing>
            <wp:anchor distT="0" distB="0" distL="114300" distR="114300" simplePos="0" relativeHeight="251659264" behindDoc="0" locked="0" layoutInCell="1" allowOverlap="1" wp14:anchorId="1A013DCE" wp14:editId="3CACD324">
              <wp:simplePos x="0" y="0"/>
              <wp:positionH relativeFrom="page">
                <wp:posOffset>360679</wp:posOffset>
              </wp:positionH>
              <wp:positionV relativeFrom="page">
                <wp:posOffset>259714</wp:posOffset>
              </wp:positionV>
              <wp:extent cx="6073143" cy="497207"/>
              <wp:effectExtent l="0" t="0" r="0" b="0"/>
              <wp:wrapSquare wrapText="bothSides"/>
              <wp:docPr id="17411" name="Group 17411"/>
              <wp:cNvGraphicFramePr/>
              <a:graphic xmlns:a="http://schemas.openxmlformats.org/drawingml/2006/main">
                <a:graphicData uri="http://schemas.microsoft.com/office/word/2010/wordprocessingGroup">
                  <wpg:wgp>
                    <wpg:cNvGrpSpPr/>
                    <wpg:grpSpPr>
                      <a:xfrm>
                        <a:off x="0" y="0"/>
                        <a:ext cx="6073143" cy="497207"/>
                        <a:chOff x="0" y="0"/>
                        <a:chExt cx="6073143" cy="497207"/>
                      </a:xfrm>
                    </wpg:grpSpPr>
                    <wps:wsp>
                      <wps:cNvPr id="17412" name="Shape 17412"/>
                      <wps:cNvSpPr/>
                      <wps:spPr>
                        <a:xfrm>
                          <a:off x="91442" y="497207"/>
                          <a:ext cx="5981700" cy="0"/>
                        </a:xfrm>
                        <a:custGeom>
                          <a:avLst/>
                          <a:gdLst/>
                          <a:ahLst/>
                          <a:cxnLst/>
                          <a:rect l="0" t="0" r="0" b="0"/>
                          <a:pathLst>
                            <a:path w="5981700">
                              <a:moveTo>
                                <a:pt x="0" y="0"/>
                              </a:moveTo>
                              <a:lnTo>
                                <a:pt x="5981700" y="0"/>
                              </a:lnTo>
                            </a:path>
                          </a:pathLst>
                        </a:custGeom>
                        <a:ln w="9525" cap="flat">
                          <a:miter lim="101600"/>
                        </a:ln>
                      </wps:spPr>
                      <wps:style>
                        <a:lnRef idx="1">
                          <a:srgbClr val="A6A6A6"/>
                        </a:lnRef>
                        <a:fillRef idx="0">
                          <a:srgbClr val="000000">
                            <a:alpha val="0"/>
                          </a:srgbClr>
                        </a:fillRef>
                        <a:effectRef idx="0">
                          <a:scrgbClr r="0" g="0" b="0"/>
                        </a:effectRef>
                        <a:fontRef idx="none"/>
                      </wps:style>
                      <wps:bodyPr/>
                    </wps:wsp>
                    <pic:pic xmlns:pic="http://schemas.openxmlformats.org/drawingml/2006/picture">
                      <pic:nvPicPr>
                        <pic:cNvPr id="17413" name="Picture 17413"/>
                        <pic:cNvPicPr/>
                      </pic:nvPicPr>
                      <pic:blipFill>
                        <a:blip r:embed="rId1"/>
                        <a:stretch>
                          <a:fillRect/>
                        </a:stretch>
                      </pic:blipFill>
                      <pic:spPr>
                        <a:xfrm>
                          <a:off x="0" y="0"/>
                          <a:ext cx="2898140" cy="455930"/>
                        </a:xfrm>
                        <a:prstGeom prst="rect">
                          <a:avLst/>
                        </a:prstGeom>
                      </pic:spPr>
                    </pic:pic>
                  </wpg:wgp>
                </a:graphicData>
              </a:graphic>
            </wp:anchor>
          </w:drawing>
        </mc:Choice>
        <mc:Fallback xmlns:a="http://schemas.openxmlformats.org/drawingml/2006/main">
          <w:pict>
            <v:group id="Group 17411" style="width:478.2pt;height:39.1502pt;position:absolute;mso-position-horizontal-relative:page;mso-position-horizontal:absolute;margin-left:28.3999pt;mso-position-vertical-relative:page;margin-top:20.4499pt;" coordsize="60731,4972">
              <v:shape id="Shape 17412" style="position:absolute;width:59817;height:0;left:914;top:4972;" coordsize="5981700,0" path="m0,0l5981700,0">
                <v:stroke weight="0.75pt" endcap="flat" joinstyle="miter" miterlimit="8" on="true" color="#a6a6a6"/>
                <v:fill on="false" color="#000000" opacity="0"/>
              </v:shape>
              <v:shape id="Picture 17413" style="position:absolute;width:28981;height:4559;left:0;top:0;" filled="f">
                <v:imagedata r:id="rId11"/>
              </v:shape>
              <w10:wrap type="square"/>
            </v:group>
          </w:pict>
        </mc:Fallback>
      </mc:AlternateContent>
    </w:r>
    <w:r>
      <w:rPr>
        <w:rFonts w:ascii="Arial" w:eastAsia="Arial" w:hAnsi="Arial" w:cs="Arial"/>
        <w:b/>
        <w:color w:val="0099FF"/>
        <w:sz w:val="3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4EE0" w14:textId="77777777" w:rsidR="00F004E7" w:rsidRDefault="004F6EDF">
    <w:pPr>
      <w:spacing w:after="0" w:line="259" w:lineRule="auto"/>
      <w:ind w:left="-720" w:right="853" w:firstLine="0"/>
      <w:jc w:val="left"/>
    </w:pPr>
    <w:r>
      <w:rPr>
        <w:noProof/>
        <w:sz w:val="22"/>
      </w:rPr>
      <mc:AlternateContent>
        <mc:Choice Requires="wpg">
          <w:drawing>
            <wp:anchor distT="0" distB="0" distL="114300" distR="114300" simplePos="0" relativeHeight="251660288" behindDoc="0" locked="0" layoutInCell="1" allowOverlap="1" wp14:anchorId="4D2CD49C" wp14:editId="4BE537EB">
              <wp:simplePos x="0" y="0"/>
              <wp:positionH relativeFrom="page">
                <wp:posOffset>363221</wp:posOffset>
              </wp:positionH>
              <wp:positionV relativeFrom="page">
                <wp:posOffset>287654</wp:posOffset>
              </wp:positionV>
              <wp:extent cx="6070601" cy="469267"/>
              <wp:effectExtent l="0" t="0" r="0" b="0"/>
              <wp:wrapSquare wrapText="bothSides"/>
              <wp:docPr id="17401" name="Group 17401"/>
              <wp:cNvGraphicFramePr/>
              <a:graphic xmlns:a="http://schemas.openxmlformats.org/drawingml/2006/main">
                <a:graphicData uri="http://schemas.microsoft.com/office/word/2010/wordprocessingGroup">
                  <wpg:wgp>
                    <wpg:cNvGrpSpPr/>
                    <wpg:grpSpPr>
                      <a:xfrm>
                        <a:off x="0" y="0"/>
                        <a:ext cx="6070601" cy="469267"/>
                        <a:chOff x="0" y="0"/>
                        <a:chExt cx="6070601" cy="469267"/>
                      </a:xfrm>
                    </wpg:grpSpPr>
                    <wps:wsp>
                      <wps:cNvPr id="17402" name="Shape 17402"/>
                      <wps:cNvSpPr/>
                      <wps:spPr>
                        <a:xfrm>
                          <a:off x="88900" y="469267"/>
                          <a:ext cx="5981700" cy="0"/>
                        </a:xfrm>
                        <a:custGeom>
                          <a:avLst/>
                          <a:gdLst/>
                          <a:ahLst/>
                          <a:cxnLst/>
                          <a:rect l="0" t="0" r="0" b="0"/>
                          <a:pathLst>
                            <a:path w="5981700">
                              <a:moveTo>
                                <a:pt x="0" y="0"/>
                              </a:moveTo>
                              <a:lnTo>
                                <a:pt x="5981700" y="0"/>
                              </a:lnTo>
                            </a:path>
                          </a:pathLst>
                        </a:custGeom>
                        <a:ln w="9525" cap="flat">
                          <a:miter lim="101600"/>
                        </a:ln>
                      </wps:spPr>
                      <wps:style>
                        <a:lnRef idx="1">
                          <a:srgbClr val="A6A6A6"/>
                        </a:lnRef>
                        <a:fillRef idx="0">
                          <a:srgbClr val="000000">
                            <a:alpha val="0"/>
                          </a:srgbClr>
                        </a:fillRef>
                        <a:effectRef idx="0">
                          <a:scrgbClr r="0" g="0" b="0"/>
                        </a:effectRef>
                        <a:fontRef idx="none"/>
                      </wps:style>
                      <wps:bodyPr/>
                    </wps:wsp>
                    <pic:pic xmlns:pic="http://schemas.openxmlformats.org/drawingml/2006/picture">
                      <pic:nvPicPr>
                        <pic:cNvPr id="17403" name="Picture 17403"/>
                        <pic:cNvPicPr/>
                      </pic:nvPicPr>
                      <pic:blipFill>
                        <a:blip r:embed="rId1"/>
                        <a:stretch>
                          <a:fillRect/>
                        </a:stretch>
                      </pic:blipFill>
                      <pic:spPr>
                        <a:xfrm>
                          <a:off x="0" y="0"/>
                          <a:ext cx="2898140" cy="455930"/>
                        </a:xfrm>
                        <a:prstGeom prst="rect">
                          <a:avLst/>
                        </a:prstGeom>
                      </pic:spPr>
                    </pic:pic>
                  </wpg:wgp>
                </a:graphicData>
              </a:graphic>
            </wp:anchor>
          </w:drawing>
        </mc:Choice>
        <mc:Fallback xmlns:a="http://schemas.openxmlformats.org/drawingml/2006/main">
          <w:pict>
            <v:group id="Group 17401" style="width:478pt;height:36.9502pt;position:absolute;mso-position-horizontal-relative:page;mso-position-horizontal:absolute;margin-left:28.6001pt;mso-position-vertical-relative:page;margin-top:22.6499pt;" coordsize="60706,4692">
              <v:shape id="Shape 17402" style="position:absolute;width:59817;height:0;left:889;top:4692;" coordsize="5981700,0" path="m0,0l5981700,0">
                <v:stroke weight="0.75pt" endcap="flat" joinstyle="miter" miterlimit="8" on="true" color="#a6a6a6"/>
                <v:fill on="false" color="#000000" opacity="0"/>
              </v:shape>
              <v:shape id="Picture 17403" style="position:absolute;width:28981;height:4559;left:0;top:0;" filled="f">
                <v:imagedata r:id="rId11"/>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3A97"/>
    <w:multiLevelType w:val="hybridMultilevel"/>
    <w:tmpl w:val="C6D0CAB4"/>
    <w:lvl w:ilvl="0" w:tplc="71B8399A">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E7551"/>
    <w:multiLevelType w:val="hybridMultilevel"/>
    <w:tmpl w:val="F4F05C0C"/>
    <w:lvl w:ilvl="0" w:tplc="C5947B28">
      <w:start w:val="9"/>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BE96C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6E216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E0D02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7A339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203B8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0649E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DE804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9C5F9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EE4107E"/>
    <w:multiLevelType w:val="hybridMultilevel"/>
    <w:tmpl w:val="DD686C0C"/>
    <w:lvl w:ilvl="0" w:tplc="A59CE6B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FE367A">
      <w:start w:val="1"/>
      <w:numFmt w:val="bullet"/>
      <w:lvlText w:val="o"/>
      <w:lvlJc w:val="left"/>
      <w:pPr>
        <w:ind w:left="1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20DF74">
      <w:start w:val="1"/>
      <w:numFmt w:val="bullet"/>
      <w:lvlText w:val="▪"/>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447E2A">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96B4F6">
      <w:start w:val="1"/>
      <w:numFmt w:val="bullet"/>
      <w:lvlText w:val="o"/>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926ED8">
      <w:start w:val="1"/>
      <w:numFmt w:val="bullet"/>
      <w:lvlText w:val="▪"/>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7ED2E6">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2CF7D2">
      <w:start w:val="1"/>
      <w:numFmt w:val="bullet"/>
      <w:lvlText w:val="o"/>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EA4734">
      <w:start w:val="1"/>
      <w:numFmt w:val="bullet"/>
      <w:lvlText w:val="▪"/>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A047829"/>
    <w:multiLevelType w:val="hybridMultilevel"/>
    <w:tmpl w:val="4B86DF54"/>
    <w:lvl w:ilvl="0" w:tplc="0409000F">
      <w:start w:val="1"/>
      <w:numFmt w:val="decimal"/>
      <w:lvlText w:val="%1."/>
      <w:lvlJc w:val="left"/>
      <w:pPr>
        <w:ind w:left="720"/>
      </w:pPr>
      <w:rPr>
        <w:b w:val="0"/>
        <w:i w:val="0"/>
        <w:strike w:val="0"/>
        <w:dstrike w:val="0"/>
        <w:color w:val="000000"/>
        <w:sz w:val="20"/>
        <w:szCs w:val="20"/>
        <w:u w:val="none" w:color="000000"/>
        <w:bdr w:val="none" w:sz="0" w:space="0" w:color="auto"/>
        <w:shd w:val="clear" w:color="auto" w:fill="auto"/>
        <w:vertAlign w:val="baseline"/>
      </w:rPr>
    </w:lvl>
    <w:lvl w:ilvl="1" w:tplc="65E0A6D4">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80C796">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8883B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A28AA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682CF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FCD2A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044DAC">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F492B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DC34FF0"/>
    <w:multiLevelType w:val="hybridMultilevel"/>
    <w:tmpl w:val="E4C617D2"/>
    <w:lvl w:ilvl="0" w:tplc="54E40230">
      <w:start w:val="1"/>
      <w:numFmt w:val="bullet"/>
      <w:lvlText w:val="-"/>
      <w:lvlJc w:val="left"/>
      <w:pPr>
        <w:ind w:left="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CE4010">
      <w:start w:val="1"/>
      <w:numFmt w:val="bullet"/>
      <w:lvlText w:val="o"/>
      <w:lvlJc w:val="left"/>
      <w:pPr>
        <w:ind w:left="1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CC1DBC">
      <w:start w:val="1"/>
      <w:numFmt w:val="bullet"/>
      <w:lvlText w:val="▪"/>
      <w:lvlJc w:val="left"/>
      <w:pPr>
        <w:ind w:left="19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28AF64">
      <w:start w:val="1"/>
      <w:numFmt w:val="bullet"/>
      <w:lvlText w:val="•"/>
      <w:lvlJc w:val="left"/>
      <w:pPr>
        <w:ind w:left="26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8AA57C">
      <w:start w:val="1"/>
      <w:numFmt w:val="bullet"/>
      <w:lvlText w:val="o"/>
      <w:lvlJc w:val="left"/>
      <w:pPr>
        <w:ind w:left="33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72A4CC">
      <w:start w:val="1"/>
      <w:numFmt w:val="bullet"/>
      <w:lvlText w:val="▪"/>
      <w:lvlJc w:val="left"/>
      <w:pPr>
        <w:ind w:left="40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40D2B0">
      <w:start w:val="1"/>
      <w:numFmt w:val="bullet"/>
      <w:lvlText w:val="•"/>
      <w:lvlJc w:val="left"/>
      <w:pPr>
        <w:ind w:left="47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1226D4">
      <w:start w:val="1"/>
      <w:numFmt w:val="bullet"/>
      <w:lvlText w:val="o"/>
      <w:lvlJc w:val="left"/>
      <w:pPr>
        <w:ind w:left="55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6C0164">
      <w:start w:val="1"/>
      <w:numFmt w:val="bullet"/>
      <w:lvlText w:val="▪"/>
      <w:lvlJc w:val="left"/>
      <w:pPr>
        <w:ind w:left="62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E9A0C94"/>
    <w:multiLevelType w:val="hybridMultilevel"/>
    <w:tmpl w:val="7B7CDE2E"/>
    <w:lvl w:ilvl="0" w:tplc="2D183D86">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2E085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D0A05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46D82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E838C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B0991A">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34F5E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D0B5B2">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92BF8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A0C29F9"/>
    <w:multiLevelType w:val="hybridMultilevel"/>
    <w:tmpl w:val="E3249868"/>
    <w:lvl w:ilvl="0" w:tplc="3EE07A6A">
      <w:start w:val="5"/>
      <w:numFmt w:val="decimal"/>
      <w:lvlText w:val="%1."/>
      <w:lvlJc w:val="left"/>
      <w:pPr>
        <w:ind w:left="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DCD5A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C8E58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D8C4C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5A0D0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F4BCF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F2A52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88DAE4">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96F87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649549875">
    <w:abstractNumId w:val="5"/>
  </w:num>
  <w:num w:numId="2" w16cid:durableId="719019543">
    <w:abstractNumId w:val="6"/>
  </w:num>
  <w:num w:numId="3" w16cid:durableId="39089084">
    <w:abstractNumId w:val="4"/>
  </w:num>
  <w:num w:numId="4" w16cid:durableId="110366105">
    <w:abstractNumId w:val="1"/>
  </w:num>
  <w:num w:numId="5" w16cid:durableId="1072504885">
    <w:abstractNumId w:val="2"/>
  </w:num>
  <w:num w:numId="6" w16cid:durableId="306129181">
    <w:abstractNumId w:val="3"/>
  </w:num>
  <w:num w:numId="7" w16cid:durableId="212035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E7"/>
    <w:rsid w:val="000C3C8E"/>
    <w:rsid w:val="000D37B4"/>
    <w:rsid w:val="000F0405"/>
    <w:rsid w:val="0010621E"/>
    <w:rsid w:val="001245DA"/>
    <w:rsid w:val="001246CA"/>
    <w:rsid w:val="00152C92"/>
    <w:rsid w:val="00160330"/>
    <w:rsid w:val="001E1476"/>
    <w:rsid w:val="002529B1"/>
    <w:rsid w:val="002532AE"/>
    <w:rsid w:val="00326126"/>
    <w:rsid w:val="003320C2"/>
    <w:rsid w:val="003E7372"/>
    <w:rsid w:val="00411A0D"/>
    <w:rsid w:val="004B172B"/>
    <w:rsid w:val="004F6EDF"/>
    <w:rsid w:val="0059121C"/>
    <w:rsid w:val="006045E5"/>
    <w:rsid w:val="006F23A1"/>
    <w:rsid w:val="00747FEF"/>
    <w:rsid w:val="00796801"/>
    <w:rsid w:val="007E3A93"/>
    <w:rsid w:val="00860C58"/>
    <w:rsid w:val="008B3AC4"/>
    <w:rsid w:val="00944318"/>
    <w:rsid w:val="00980325"/>
    <w:rsid w:val="009F4733"/>
    <w:rsid w:val="00DA4E7E"/>
    <w:rsid w:val="00E736D5"/>
    <w:rsid w:val="00F004E7"/>
    <w:rsid w:val="00F70827"/>
    <w:rsid w:val="00F76940"/>
    <w:rsid w:val="00FC5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7F1EF"/>
  <w15:docId w15:val="{D16901FD-CB0B-43F3-A987-82D5B5BB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370" w:hanging="10"/>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4" w:lineRule="auto"/>
    </w:pPr>
    <w:rPr>
      <w:rFonts w:ascii="Arial" w:eastAsia="Arial" w:hAnsi="Arial" w:cs="Arial"/>
      <w:i/>
      <w:color w:val="000000"/>
      <w:sz w:val="16"/>
    </w:rPr>
  </w:style>
  <w:style w:type="character" w:customStyle="1" w:styleId="footnotedescriptionChar">
    <w:name w:val="footnote description Char"/>
    <w:link w:val="footnotedescription"/>
    <w:rPr>
      <w:rFonts w:ascii="Arial" w:eastAsia="Arial" w:hAnsi="Arial" w:cs="Arial"/>
      <w:i/>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Table,List Paragraph (numbered (a)),Dot pt,F5 List Paragraph,List Paragraph1,No Spacing1,List Paragraph Char Char Char,Indicator Text,Numbered Para 1,Bullet 1,List Paragraph12,Bullet Points,MAIN CONTENT,列出段落,L,List bullets,Liste 1,stil3"/>
    <w:basedOn w:val="Normal"/>
    <w:link w:val="ListParagraphChar"/>
    <w:uiPriority w:val="34"/>
    <w:qFormat/>
    <w:rsid w:val="00F76940"/>
    <w:pPr>
      <w:ind w:left="720"/>
      <w:contextualSpacing/>
    </w:pPr>
  </w:style>
  <w:style w:type="paragraph" w:customStyle="1" w:styleId="Default">
    <w:name w:val="Default"/>
    <w:rsid w:val="002529B1"/>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customStyle="1" w:styleId="ListParagraphChar">
    <w:name w:val="List Paragraph Char"/>
    <w:aliases w:val="Table Char,List Paragraph (numbered (a)) Char,Dot pt Char,F5 List Paragraph Char,List Paragraph1 Char,No Spacing1 Char,List Paragraph Char Char Char Char,Indicator Text Char,Numbered Para 1 Char,Bullet 1 Char,List Paragraph12 Char"/>
    <w:basedOn w:val="DefaultParagraphFont"/>
    <w:link w:val="ListParagraph"/>
    <w:uiPriority w:val="34"/>
    <w:qFormat/>
    <w:locked/>
    <w:rsid w:val="002529B1"/>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portunidades.onu.org.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11"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11"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11"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1447</Words>
  <Characters>8252</Characters>
  <Application>Microsoft Office Word</Application>
  <DocSecurity>0</DocSecurity>
  <Lines>68</Lines>
  <Paragraphs>19</Paragraphs>
  <ScaleCrop>false</ScaleCrop>
  <Company>UNICEF</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Administrator</dc:creator>
  <cp:keywords>Consultant ; Terms of reference</cp:keywords>
  <cp:lastModifiedBy>Cecilia Arce</cp:lastModifiedBy>
  <cp:revision>33</cp:revision>
  <dcterms:created xsi:type="dcterms:W3CDTF">2024-10-27T12:13:00Z</dcterms:created>
  <dcterms:modified xsi:type="dcterms:W3CDTF">2024-11-05T02:50:00Z</dcterms:modified>
</cp:coreProperties>
</file>