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DF8A0" w14:textId="77777777" w:rsidR="00EB24BE" w:rsidRDefault="00EB24BE" w:rsidP="00B14BE6">
      <w:pPr>
        <w:jc w:val="center"/>
        <w:rPr>
          <w:rFonts w:ascii="Calibri" w:hAnsi="Calibri" w:cs="Calibri"/>
          <w:b/>
          <w:bCs/>
          <w:color w:val="0070C0"/>
          <w:sz w:val="26"/>
          <w:szCs w:val="26"/>
          <w:lang w:val="es-419"/>
        </w:rPr>
      </w:pPr>
    </w:p>
    <w:p w14:paraId="2ED4374C" w14:textId="7F455837" w:rsidR="00B14BE6" w:rsidRPr="00931ABC" w:rsidRDefault="00B14BE6" w:rsidP="00B14BE6">
      <w:pPr>
        <w:jc w:val="center"/>
        <w:rPr>
          <w:rFonts w:asciiTheme="majorHAnsi" w:hAnsiTheme="majorHAnsi" w:cstheme="majorHAnsi"/>
          <w:b/>
          <w:bCs/>
          <w:color w:val="0070C0"/>
          <w:sz w:val="26"/>
          <w:szCs w:val="26"/>
          <w:lang w:val="es-419"/>
        </w:rPr>
      </w:pPr>
      <w:r w:rsidRPr="00931ABC">
        <w:rPr>
          <w:rFonts w:asciiTheme="majorHAnsi" w:hAnsiTheme="majorHAnsi" w:cstheme="majorHAnsi"/>
          <w:b/>
          <w:bCs/>
          <w:color w:val="0070C0"/>
          <w:sz w:val="26"/>
          <w:szCs w:val="26"/>
          <w:lang w:val="es-419"/>
        </w:rPr>
        <w:t>TERM</w:t>
      </w:r>
      <w:r w:rsidR="00B24DA4" w:rsidRPr="00931ABC">
        <w:rPr>
          <w:rFonts w:asciiTheme="majorHAnsi" w:hAnsiTheme="majorHAnsi" w:cstheme="majorHAnsi"/>
          <w:b/>
          <w:bCs/>
          <w:color w:val="0070C0"/>
          <w:sz w:val="26"/>
          <w:szCs w:val="26"/>
          <w:lang w:val="es-419"/>
        </w:rPr>
        <w:t>INOS DE REFERENCIA PARA CONSULTORES</w:t>
      </w:r>
    </w:p>
    <w:p w14:paraId="624339D1" w14:textId="3AA7E1E9" w:rsidR="00DC02A7" w:rsidRPr="000F619D" w:rsidRDefault="00DC02A7" w:rsidP="001E517E">
      <w:pPr>
        <w:jc w:val="center"/>
        <w:rPr>
          <w:rFonts w:asciiTheme="majorHAnsi" w:hAnsiTheme="majorHAnsi" w:cstheme="majorHAnsi"/>
          <w:b/>
          <w:bCs/>
          <w:color w:val="0070C0"/>
          <w:sz w:val="26"/>
          <w:szCs w:val="26"/>
          <w:lang w:val="es-ES"/>
        </w:rPr>
      </w:pPr>
      <w:r w:rsidRPr="000F619D">
        <w:rPr>
          <w:rFonts w:asciiTheme="majorHAnsi" w:hAnsiTheme="majorHAnsi" w:cstheme="majorHAnsi"/>
          <w:b/>
          <w:bCs/>
          <w:color w:val="0070C0"/>
          <w:sz w:val="26"/>
          <w:szCs w:val="26"/>
          <w:lang w:val="es-ES"/>
        </w:rPr>
        <w:t>UNICEF BOLIVIA</w:t>
      </w:r>
    </w:p>
    <w:p w14:paraId="6600DA87" w14:textId="2871AE31" w:rsidR="00C5563F" w:rsidRPr="000F619D" w:rsidRDefault="00C5563F" w:rsidP="00B14BE6">
      <w:pPr>
        <w:jc w:val="center"/>
        <w:rPr>
          <w:rFonts w:asciiTheme="majorHAnsi" w:hAnsiTheme="majorHAnsi" w:cstheme="majorHAnsi"/>
          <w:b/>
          <w:bCs/>
          <w:color w:val="00B0F0"/>
          <w:sz w:val="24"/>
          <w:szCs w:val="24"/>
          <w:u w:val="single"/>
          <w:lang w:val="es-ES"/>
        </w:rPr>
      </w:pPr>
    </w:p>
    <w:tbl>
      <w:tblPr>
        <w:tblStyle w:val="TableGrid"/>
        <w:tblW w:w="0" w:type="auto"/>
        <w:tblLook w:val="04A0" w:firstRow="1" w:lastRow="0" w:firstColumn="1" w:lastColumn="0" w:noHBand="0" w:noVBand="1"/>
      </w:tblPr>
      <w:tblGrid>
        <w:gridCol w:w="7195"/>
        <w:gridCol w:w="2970"/>
      </w:tblGrid>
      <w:tr w:rsidR="00103826" w:rsidRPr="00103826" w14:paraId="279BA156" w14:textId="77777777" w:rsidTr="00103826">
        <w:tc>
          <w:tcPr>
            <w:tcW w:w="7195" w:type="dxa"/>
          </w:tcPr>
          <w:p w14:paraId="5F1907F3" w14:textId="77777777" w:rsidR="00103826" w:rsidRPr="00E55969" w:rsidRDefault="00103826" w:rsidP="00341EBB">
            <w:pPr>
              <w:spacing w:before="60" w:after="60" w:line="240" w:lineRule="auto"/>
              <w:rPr>
                <w:rFonts w:asciiTheme="majorHAnsi" w:hAnsiTheme="majorHAnsi" w:cstheme="majorHAnsi"/>
                <w:b/>
                <w:bCs/>
                <w:lang w:val="es-ES"/>
              </w:rPr>
            </w:pPr>
            <w:r w:rsidRPr="00E55969">
              <w:rPr>
                <w:rFonts w:asciiTheme="majorHAnsi" w:hAnsiTheme="majorHAnsi" w:cstheme="majorHAnsi"/>
                <w:b/>
                <w:bCs/>
                <w:lang w:val="es-ES"/>
              </w:rPr>
              <w:t>TÍTULO DE LA CONSULTORÍA:</w:t>
            </w:r>
          </w:p>
          <w:p w14:paraId="2B08D577" w14:textId="2D8C7948" w:rsidR="00103826" w:rsidRPr="00103826" w:rsidRDefault="00103826" w:rsidP="00103826">
            <w:pPr>
              <w:rPr>
                <w:rFonts w:asciiTheme="majorHAnsi" w:eastAsia="Arial Unicode MS" w:hAnsiTheme="majorHAnsi" w:cstheme="majorBidi"/>
                <w:b/>
                <w:bCs/>
                <w:color w:val="auto"/>
                <w:lang w:val="es-ES"/>
              </w:rPr>
            </w:pPr>
            <w:r w:rsidRPr="00E55969">
              <w:rPr>
                <w:rFonts w:asciiTheme="majorHAnsi" w:hAnsiTheme="majorHAnsi" w:cstheme="majorHAnsi"/>
                <w:color w:val="auto"/>
                <w:sz w:val="18"/>
                <w:szCs w:val="18"/>
                <w:lang w:val="es-BO"/>
              </w:rPr>
              <w:t>FORTALECIMIENTO DE LAS CAPACIDADES DE GESTIÓN MUNICIPAL PARA LA PLANIFICACIÓN Y PRESUPUESTACIÓN DE CORTO PLAZO PARA DSSDR Y VSG</w:t>
            </w:r>
          </w:p>
        </w:tc>
        <w:tc>
          <w:tcPr>
            <w:tcW w:w="2970" w:type="dxa"/>
          </w:tcPr>
          <w:p w14:paraId="463342C0" w14:textId="77777777" w:rsidR="00103826" w:rsidRDefault="00103826" w:rsidP="00103826">
            <w:pPr>
              <w:spacing w:before="100" w:beforeAutospacing="1" w:after="100" w:afterAutospacing="1" w:line="240" w:lineRule="auto"/>
              <w:rPr>
                <w:rFonts w:asciiTheme="majorHAnsi" w:hAnsiTheme="majorHAnsi" w:cstheme="majorHAnsi"/>
                <w:b/>
                <w:bCs/>
                <w:lang w:val="es-ES"/>
              </w:rPr>
            </w:pPr>
            <w:r w:rsidRPr="00931ABC">
              <w:rPr>
                <w:rFonts w:asciiTheme="majorHAnsi" w:hAnsiTheme="majorHAnsi" w:cstheme="majorHAnsi"/>
                <w:b/>
                <w:bCs/>
                <w:lang w:val="es-ES"/>
              </w:rPr>
              <w:t>SEDE DE LA CONSULTORÍA:</w:t>
            </w:r>
            <w:r>
              <w:rPr>
                <w:rFonts w:asciiTheme="majorHAnsi" w:hAnsiTheme="majorHAnsi" w:cstheme="majorHAnsi"/>
                <w:b/>
                <w:bCs/>
                <w:lang w:val="es-ES"/>
              </w:rPr>
              <w:t xml:space="preserve"> </w:t>
            </w:r>
          </w:p>
          <w:p w14:paraId="3868CD60" w14:textId="057720D5" w:rsidR="00103826" w:rsidRPr="003057B2" w:rsidRDefault="00103826" w:rsidP="00103826">
            <w:pPr>
              <w:spacing w:before="100" w:beforeAutospacing="1" w:after="100" w:afterAutospacing="1" w:line="240" w:lineRule="auto"/>
              <w:rPr>
                <w:rFonts w:asciiTheme="majorHAnsi" w:hAnsiTheme="majorHAnsi" w:cstheme="majorHAnsi"/>
                <w:lang w:val="es-BO"/>
              </w:rPr>
            </w:pPr>
            <w:r w:rsidRPr="003057B2">
              <w:rPr>
                <w:rFonts w:asciiTheme="majorHAnsi" w:hAnsiTheme="majorHAnsi" w:cstheme="majorHAnsi"/>
                <w:lang w:val="es-BO"/>
              </w:rPr>
              <w:t>LA PAZ</w:t>
            </w:r>
          </w:p>
        </w:tc>
      </w:tr>
    </w:tbl>
    <w:p w14:paraId="2C3444BA" w14:textId="3AB019A3" w:rsidR="00C5563F" w:rsidRPr="003057B2" w:rsidRDefault="00C5563F" w:rsidP="00E36997">
      <w:pPr>
        <w:ind w:left="90"/>
        <w:jc w:val="center"/>
        <w:rPr>
          <w:rFonts w:asciiTheme="majorHAnsi" w:hAnsiTheme="majorHAnsi" w:cstheme="majorHAnsi"/>
          <w:lang w:val="es-BO"/>
        </w:rPr>
      </w:pPr>
    </w:p>
    <w:p w14:paraId="6C961910" w14:textId="04AC4FF8" w:rsidR="009A4015" w:rsidRPr="00C2273D" w:rsidRDefault="00341EBB" w:rsidP="00173392">
      <w:pPr>
        <w:pStyle w:val="ListParagraph"/>
        <w:numPr>
          <w:ilvl w:val="0"/>
          <w:numId w:val="28"/>
        </w:numPr>
        <w:spacing w:before="60" w:after="120" w:line="240" w:lineRule="auto"/>
        <w:rPr>
          <w:rFonts w:asciiTheme="majorHAnsi" w:hAnsiTheme="majorHAnsi" w:cstheme="majorHAnsi"/>
          <w:b/>
          <w:bCs/>
          <w:lang w:val="es-ES"/>
        </w:rPr>
      </w:pPr>
      <w:r w:rsidRPr="00C2273D">
        <w:rPr>
          <w:rFonts w:asciiTheme="majorHAnsi" w:hAnsiTheme="majorHAnsi" w:cstheme="majorHAnsi"/>
          <w:b/>
          <w:bCs/>
          <w:lang w:val="es-ES"/>
        </w:rPr>
        <w:t xml:space="preserve">PROPÓSITO DE LA </w:t>
      </w:r>
      <w:r w:rsidR="00931ABC" w:rsidRPr="00C2273D">
        <w:rPr>
          <w:rFonts w:asciiTheme="majorHAnsi" w:hAnsiTheme="majorHAnsi" w:cstheme="majorHAnsi"/>
          <w:b/>
          <w:bCs/>
          <w:lang w:val="es-ES"/>
        </w:rPr>
        <w:t>CONSULTORÍA. -</w:t>
      </w:r>
      <w:r w:rsidRPr="00C2273D">
        <w:rPr>
          <w:rFonts w:asciiTheme="majorHAnsi" w:hAnsiTheme="majorHAnsi" w:cstheme="majorHAnsi"/>
          <w:b/>
          <w:bCs/>
          <w:lang w:val="es-ES"/>
        </w:rPr>
        <w:t xml:space="preserve"> </w:t>
      </w:r>
    </w:p>
    <w:p w14:paraId="75330DE9" w14:textId="6AC95F6D" w:rsidR="00AB2BAA" w:rsidRDefault="00175B69" w:rsidP="00175B69">
      <w:pPr>
        <w:spacing w:before="60" w:after="120" w:line="240" w:lineRule="auto"/>
        <w:ind w:left="720"/>
        <w:jc w:val="both"/>
        <w:rPr>
          <w:rFonts w:asciiTheme="majorHAnsi" w:eastAsia="Arial Unicode MS" w:hAnsiTheme="majorHAnsi" w:cstheme="majorHAnsi"/>
          <w:bCs/>
          <w:color w:val="auto"/>
          <w:lang w:val="es-BO"/>
        </w:rPr>
      </w:pPr>
      <w:r w:rsidRPr="00175B69">
        <w:rPr>
          <w:rFonts w:asciiTheme="majorHAnsi" w:eastAsia="Arial Unicode MS" w:hAnsiTheme="majorHAnsi" w:cstheme="majorHAnsi"/>
          <w:bCs/>
          <w:color w:val="auto"/>
          <w:lang w:val="es-BO"/>
        </w:rPr>
        <w:t xml:space="preserve">Promover el fortalecimiento de las capacidades </w:t>
      </w:r>
      <w:r w:rsidR="00CC4604">
        <w:rPr>
          <w:rFonts w:asciiTheme="majorHAnsi" w:eastAsia="Arial Unicode MS" w:hAnsiTheme="majorHAnsi" w:cstheme="majorHAnsi"/>
          <w:bCs/>
          <w:color w:val="auto"/>
          <w:lang w:val="es-BO"/>
        </w:rPr>
        <w:t xml:space="preserve">de gestión </w:t>
      </w:r>
      <w:r w:rsidRPr="00175B69">
        <w:rPr>
          <w:rFonts w:asciiTheme="majorHAnsi" w:eastAsia="Arial Unicode MS" w:hAnsiTheme="majorHAnsi" w:cstheme="majorHAnsi"/>
          <w:bCs/>
          <w:color w:val="auto"/>
          <w:lang w:val="es-BO"/>
        </w:rPr>
        <w:t>de los Gobiernos Autónomos Municipales</w:t>
      </w:r>
      <w:r>
        <w:rPr>
          <w:rFonts w:asciiTheme="majorHAnsi" w:eastAsia="Arial Unicode MS" w:hAnsiTheme="majorHAnsi" w:cstheme="majorHAnsi"/>
          <w:bCs/>
          <w:color w:val="auto"/>
          <w:lang w:val="es-BO"/>
        </w:rPr>
        <w:t xml:space="preserve"> de El Alto, Trinidad y Cobija</w:t>
      </w:r>
      <w:r w:rsidRPr="00175B69">
        <w:rPr>
          <w:rFonts w:asciiTheme="majorHAnsi" w:eastAsia="Arial Unicode MS" w:hAnsiTheme="majorHAnsi" w:cstheme="majorHAnsi"/>
          <w:bCs/>
          <w:color w:val="auto"/>
          <w:lang w:val="es-BO"/>
        </w:rPr>
        <w:t xml:space="preserve"> </w:t>
      </w:r>
      <w:r w:rsidR="00757FB7">
        <w:rPr>
          <w:rFonts w:asciiTheme="majorHAnsi" w:eastAsia="Arial Unicode MS" w:hAnsiTheme="majorHAnsi" w:cstheme="majorHAnsi"/>
          <w:bCs/>
          <w:color w:val="auto"/>
          <w:lang w:val="es-BO"/>
        </w:rPr>
        <w:t>en el</w:t>
      </w:r>
      <w:r w:rsidR="00CC4604">
        <w:rPr>
          <w:rFonts w:asciiTheme="majorHAnsi" w:eastAsia="Arial Unicode MS" w:hAnsiTheme="majorHAnsi" w:cstheme="majorHAnsi"/>
          <w:bCs/>
          <w:color w:val="auto"/>
          <w:lang w:val="es-BO"/>
        </w:rPr>
        <w:t xml:space="preserve"> proceso de </w:t>
      </w:r>
      <w:r w:rsidRPr="00175B69">
        <w:rPr>
          <w:rFonts w:asciiTheme="majorHAnsi" w:eastAsia="Arial Unicode MS" w:hAnsiTheme="majorHAnsi" w:cstheme="majorHAnsi"/>
          <w:bCs/>
          <w:color w:val="auto"/>
          <w:lang w:val="es-BO"/>
        </w:rPr>
        <w:t xml:space="preserve">planificación y presupuestación </w:t>
      </w:r>
      <w:r w:rsidR="00C33312">
        <w:rPr>
          <w:rFonts w:asciiTheme="majorHAnsi" w:eastAsia="Arial Unicode MS" w:hAnsiTheme="majorHAnsi" w:cstheme="majorHAnsi"/>
          <w:bCs/>
          <w:color w:val="auto"/>
          <w:lang w:val="es-BO"/>
        </w:rPr>
        <w:t>de corto plazo</w:t>
      </w:r>
      <w:r w:rsidR="00757FB7">
        <w:rPr>
          <w:rFonts w:asciiTheme="majorHAnsi" w:eastAsia="Arial Unicode MS" w:hAnsiTheme="majorHAnsi" w:cstheme="majorHAnsi"/>
          <w:bCs/>
          <w:color w:val="auto"/>
          <w:lang w:val="es-BO"/>
        </w:rPr>
        <w:t xml:space="preserve">, de modo </w:t>
      </w:r>
      <w:r w:rsidR="009A3C43">
        <w:rPr>
          <w:rFonts w:asciiTheme="majorHAnsi" w:eastAsia="Arial Unicode MS" w:hAnsiTheme="majorHAnsi" w:cstheme="majorHAnsi"/>
          <w:bCs/>
          <w:color w:val="auto"/>
          <w:lang w:val="es-BO"/>
        </w:rPr>
        <w:t>que</w:t>
      </w:r>
      <w:r w:rsidR="009A3C43" w:rsidRPr="001C45A2">
        <w:rPr>
          <w:rFonts w:asciiTheme="majorHAnsi" w:eastAsia="Arial Unicode MS" w:hAnsiTheme="majorHAnsi" w:cstheme="majorHAnsi"/>
          <w:bCs/>
          <w:color w:val="auto"/>
          <w:lang w:val="es-BO"/>
        </w:rPr>
        <w:t xml:space="preserve"> </w:t>
      </w:r>
      <w:r w:rsidR="009A3C43">
        <w:rPr>
          <w:rFonts w:asciiTheme="majorHAnsi" w:eastAsia="Arial Unicode MS" w:hAnsiTheme="majorHAnsi" w:cstheme="majorHAnsi"/>
          <w:bCs/>
          <w:color w:val="auto"/>
          <w:lang w:val="es-BO"/>
        </w:rPr>
        <w:t>los</w:t>
      </w:r>
      <w:r w:rsidR="001C45A2" w:rsidRPr="00AB2BAA">
        <w:rPr>
          <w:rFonts w:asciiTheme="majorHAnsi" w:eastAsia="Arial Unicode MS" w:hAnsiTheme="majorHAnsi" w:cstheme="majorHAnsi"/>
          <w:bCs/>
          <w:color w:val="auto"/>
          <w:lang w:val="es-BO"/>
        </w:rPr>
        <w:t xml:space="preserve"> derechos sexuales y reproductivos (DSSDR) y una vida libre de violencia</w:t>
      </w:r>
      <w:r w:rsidR="001C45A2">
        <w:rPr>
          <w:rFonts w:asciiTheme="majorHAnsi" w:eastAsia="Arial Unicode MS" w:hAnsiTheme="majorHAnsi" w:cstheme="majorHAnsi"/>
          <w:bCs/>
          <w:color w:val="auto"/>
          <w:lang w:val="es-BO"/>
        </w:rPr>
        <w:t xml:space="preserve"> sexual y de género (VSG</w:t>
      </w:r>
      <w:r w:rsidR="00A86FDC">
        <w:rPr>
          <w:rFonts w:asciiTheme="majorHAnsi" w:eastAsia="Arial Unicode MS" w:hAnsiTheme="majorHAnsi" w:cstheme="majorHAnsi"/>
          <w:bCs/>
          <w:color w:val="auto"/>
          <w:lang w:val="es-BO"/>
        </w:rPr>
        <w:t>)</w:t>
      </w:r>
      <w:r w:rsidR="00757FB7">
        <w:rPr>
          <w:rFonts w:asciiTheme="majorHAnsi" w:eastAsia="Arial Unicode MS" w:hAnsiTheme="majorHAnsi" w:cstheme="majorHAnsi"/>
          <w:bCs/>
          <w:color w:val="auto"/>
          <w:lang w:val="es-BO"/>
        </w:rPr>
        <w:t xml:space="preserve"> se reflejen en acciones y recursos inscritos en el POA 2026</w:t>
      </w:r>
      <w:r w:rsidR="009A3C43">
        <w:rPr>
          <w:rFonts w:asciiTheme="majorHAnsi" w:eastAsia="Arial Unicode MS" w:hAnsiTheme="majorHAnsi" w:cstheme="majorHAnsi"/>
          <w:bCs/>
          <w:color w:val="auto"/>
          <w:lang w:val="es-BO"/>
        </w:rPr>
        <w:t>.</w:t>
      </w:r>
    </w:p>
    <w:p w14:paraId="209DCD92" w14:textId="4FE30E29" w:rsidR="00A86FDC" w:rsidRPr="00A86FDC" w:rsidRDefault="00A86FDC" w:rsidP="00175B69">
      <w:pPr>
        <w:spacing w:before="60" w:after="120" w:line="240" w:lineRule="auto"/>
        <w:ind w:left="720"/>
        <w:jc w:val="both"/>
        <w:rPr>
          <w:rFonts w:asciiTheme="majorHAnsi" w:eastAsia="Arial Unicode MS" w:hAnsiTheme="majorHAnsi" w:cstheme="majorHAnsi"/>
          <w:b/>
          <w:i/>
          <w:iCs/>
          <w:color w:val="auto"/>
          <w:lang w:val="es-BO"/>
        </w:rPr>
      </w:pPr>
      <w:r w:rsidRPr="00A86FDC">
        <w:rPr>
          <w:rFonts w:asciiTheme="majorHAnsi" w:eastAsia="Arial Unicode MS" w:hAnsiTheme="majorHAnsi" w:cstheme="majorHAnsi"/>
          <w:b/>
          <w:i/>
          <w:iCs/>
          <w:color w:val="auto"/>
          <w:lang w:val="es-BO"/>
        </w:rPr>
        <w:t>Objetivos Específicos</w:t>
      </w:r>
    </w:p>
    <w:p w14:paraId="423106A9" w14:textId="3A0C54BE" w:rsidR="00A86FDC" w:rsidRDefault="00A86FDC" w:rsidP="009A3C43">
      <w:pPr>
        <w:pStyle w:val="ListParagraph"/>
        <w:numPr>
          <w:ilvl w:val="0"/>
          <w:numId w:val="37"/>
        </w:numPr>
        <w:jc w:val="both"/>
        <w:rPr>
          <w:rFonts w:asciiTheme="majorHAnsi" w:eastAsia="Arial Unicode MS" w:hAnsiTheme="majorHAnsi" w:cstheme="majorHAnsi"/>
          <w:bCs/>
          <w:color w:val="auto"/>
          <w:lang w:val="es-BO"/>
        </w:rPr>
      </w:pPr>
      <w:r w:rsidRPr="00A86FDC">
        <w:rPr>
          <w:rFonts w:asciiTheme="majorHAnsi" w:eastAsia="Arial Unicode MS" w:hAnsiTheme="majorHAnsi" w:cstheme="majorHAnsi"/>
          <w:bCs/>
          <w:color w:val="auto"/>
          <w:lang w:val="es-BO"/>
        </w:rPr>
        <w:t>E</w:t>
      </w:r>
      <w:r w:rsidR="00AB2BAA" w:rsidRPr="00A86FDC">
        <w:rPr>
          <w:rFonts w:asciiTheme="majorHAnsi" w:eastAsia="Arial Unicode MS" w:hAnsiTheme="majorHAnsi" w:cstheme="majorHAnsi"/>
          <w:bCs/>
          <w:color w:val="auto"/>
          <w:lang w:val="es-BO"/>
        </w:rPr>
        <w:t>labora</w:t>
      </w:r>
      <w:r w:rsidRPr="00A86FDC">
        <w:rPr>
          <w:rFonts w:asciiTheme="majorHAnsi" w:eastAsia="Arial Unicode MS" w:hAnsiTheme="majorHAnsi" w:cstheme="majorHAnsi"/>
          <w:bCs/>
          <w:color w:val="auto"/>
          <w:lang w:val="es-BO"/>
        </w:rPr>
        <w:t xml:space="preserve">r </w:t>
      </w:r>
      <w:r w:rsidR="00AB2BAA" w:rsidRPr="00A86FDC">
        <w:rPr>
          <w:rFonts w:asciiTheme="majorHAnsi" w:eastAsia="Arial Unicode MS" w:hAnsiTheme="majorHAnsi" w:cstheme="majorHAnsi"/>
          <w:bCs/>
          <w:color w:val="auto"/>
          <w:lang w:val="es-BO"/>
        </w:rPr>
        <w:t xml:space="preserve">una </w:t>
      </w:r>
      <w:r w:rsidR="00717526" w:rsidRPr="00A86FDC">
        <w:rPr>
          <w:rFonts w:asciiTheme="majorHAnsi" w:eastAsia="Arial Unicode MS" w:hAnsiTheme="majorHAnsi" w:cstheme="majorHAnsi"/>
          <w:bCs/>
          <w:color w:val="auto"/>
          <w:lang w:val="es-BO"/>
        </w:rPr>
        <w:t>g</w:t>
      </w:r>
      <w:r w:rsidR="00AB2BAA" w:rsidRPr="00A86FDC">
        <w:rPr>
          <w:rFonts w:asciiTheme="majorHAnsi" w:eastAsia="Arial Unicode MS" w:hAnsiTheme="majorHAnsi" w:cstheme="majorHAnsi"/>
          <w:bCs/>
          <w:color w:val="auto"/>
          <w:lang w:val="es-BO"/>
        </w:rPr>
        <w:t>uía</w:t>
      </w:r>
      <w:r w:rsidR="00CC4604">
        <w:rPr>
          <w:rFonts w:asciiTheme="majorHAnsi" w:eastAsia="Arial Unicode MS" w:hAnsiTheme="majorHAnsi" w:cstheme="majorHAnsi"/>
          <w:bCs/>
          <w:color w:val="auto"/>
          <w:lang w:val="es-BO"/>
        </w:rPr>
        <w:t xml:space="preserve"> de planificación y presupuest</w:t>
      </w:r>
      <w:r w:rsidR="00B42149">
        <w:rPr>
          <w:rFonts w:asciiTheme="majorHAnsi" w:eastAsia="Arial Unicode MS" w:hAnsiTheme="majorHAnsi" w:cstheme="majorHAnsi"/>
          <w:bCs/>
          <w:color w:val="auto"/>
          <w:lang w:val="es-BO"/>
        </w:rPr>
        <w:t>os</w:t>
      </w:r>
      <w:r w:rsidR="00AB2BAA" w:rsidRPr="00A86FDC">
        <w:rPr>
          <w:rFonts w:asciiTheme="majorHAnsi" w:eastAsia="Arial Unicode MS" w:hAnsiTheme="majorHAnsi" w:cstheme="majorHAnsi"/>
          <w:bCs/>
          <w:color w:val="auto"/>
          <w:lang w:val="es-BO"/>
        </w:rPr>
        <w:t xml:space="preserve"> </w:t>
      </w:r>
      <w:r w:rsidR="00757FB7">
        <w:rPr>
          <w:rFonts w:asciiTheme="majorHAnsi" w:eastAsia="Arial Unicode MS" w:hAnsiTheme="majorHAnsi" w:cstheme="majorHAnsi"/>
          <w:bCs/>
          <w:color w:val="auto"/>
          <w:lang w:val="es-BO"/>
        </w:rPr>
        <w:t xml:space="preserve">que, en el marco de la metodología establecida conjuntamente por los entes rectores de la Planificación del Desarrollo y administración del presupuesto en Bolivia, coadyuve a funcionarios de los Gobiernos Autónomos Municipales en la identificación de acciones </w:t>
      </w:r>
      <w:r w:rsidR="00B42149">
        <w:rPr>
          <w:rFonts w:asciiTheme="majorHAnsi" w:eastAsia="Arial Unicode MS" w:hAnsiTheme="majorHAnsi" w:cstheme="majorHAnsi"/>
          <w:bCs/>
          <w:color w:val="auto"/>
          <w:lang w:val="es-BO"/>
        </w:rPr>
        <w:t>para garantizar los</w:t>
      </w:r>
      <w:r w:rsidR="00B42149" w:rsidRPr="00B42149">
        <w:rPr>
          <w:rFonts w:asciiTheme="majorHAnsi" w:eastAsia="Arial Unicode MS" w:hAnsiTheme="majorHAnsi" w:cstheme="majorHAnsi"/>
          <w:bCs/>
          <w:color w:val="auto"/>
          <w:lang w:val="es-BO"/>
        </w:rPr>
        <w:t xml:space="preserve"> </w:t>
      </w:r>
      <w:r w:rsidR="00B42149" w:rsidRPr="00A86FDC">
        <w:rPr>
          <w:rFonts w:asciiTheme="majorHAnsi" w:eastAsia="Arial Unicode MS" w:hAnsiTheme="majorHAnsi" w:cstheme="majorHAnsi"/>
          <w:bCs/>
          <w:color w:val="auto"/>
          <w:lang w:val="es-BO"/>
        </w:rPr>
        <w:t>derechos sexuales y reproductivos (DSSDR) y una vida libre de la Violencia Sexual y de Género (VSG)</w:t>
      </w:r>
      <w:r w:rsidR="00B42149">
        <w:rPr>
          <w:rFonts w:asciiTheme="majorHAnsi" w:eastAsia="Arial Unicode MS" w:hAnsiTheme="majorHAnsi" w:cstheme="majorHAnsi"/>
          <w:bCs/>
          <w:color w:val="auto"/>
          <w:lang w:val="es-BO"/>
        </w:rPr>
        <w:t xml:space="preserve"> en el nivel local </w:t>
      </w:r>
      <w:r w:rsidR="00757FB7">
        <w:rPr>
          <w:rFonts w:asciiTheme="majorHAnsi" w:eastAsia="Arial Unicode MS" w:hAnsiTheme="majorHAnsi" w:cstheme="majorHAnsi"/>
          <w:bCs/>
          <w:color w:val="auto"/>
          <w:lang w:val="es-BO"/>
        </w:rPr>
        <w:t>y</w:t>
      </w:r>
      <w:r w:rsidR="00B42149">
        <w:rPr>
          <w:rFonts w:asciiTheme="majorHAnsi" w:eastAsia="Arial Unicode MS" w:hAnsiTheme="majorHAnsi" w:cstheme="majorHAnsi"/>
          <w:bCs/>
          <w:color w:val="auto"/>
          <w:lang w:val="es-BO"/>
        </w:rPr>
        <w:t xml:space="preserve"> consecuentemente</w:t>
      </w:r>
      <w:r w:rsidR="00757FB7">
        <w:rPr>
          <w:rFonts w:asciiTheme="majorHAnsi" w:eastAsia="Arial Unicode MS" w:hAnsiTheme="majorHAnsi" w:cstheme="majorHAnsi"/>
          <w:bCs/>
          <w:color w:val="auto"/>
          <w:lang w:val="es-BO"/>
        </w:rPr>
        <w:t xml:space="preserve"> una adecuada asignación presupue</w:t>
      </w:r>
      <w:r w:rsidR="00B42149">
        <w:rPr>
          <w:rFonts w:asciiTheme="majorHAnsi" w:eastAsia="Arial Unicode MS" w:hAnsiTheme="majorHAnsi" w:cstheme="majorHAnsi"/>
          <w:bCs/>
          <w:color w:val="auto"/>
          <w:lang w:val="es-BO"/>
        </w:rPr>
        <w:t>s</w:t>
      </w:r>
      <w:r w:rsidR="00757FB7">
        <w:rPr>
          <w:rFonts w:asciiTheme="majorHAnsi" w:eastAsia="Arial Unicode MS" w:hAnsiTheme="majorHAnsi" w:cstheme="majorHAnsi"/>
          <w:bCs/>
          <w:color w:val="auto"/>
          <w:lang w:val="es-BO"/>
        </w:rPr>
        <w:t>taria</w:t>
      </w:r>
      <w:r w:rsidR="00B42149">
        <w:rPr>
          <w:rFonts w:asciiTheme="majorHAnsi" w:eastAsia="Arial Unicode MS" w:hAnsiTheme="majorHAnsi" w:cstheme="majorHAnsi"/>
          <w:bCs/>
          <w:color w:val="auto"/>
          <w:lang w:val="es-BO"/>
        </w:rPr>
        <w:t>; que se reflejen</w:t>
      </w:r>
      <w:r w:rsidR="00757FB7">
        <w:rPr>
          <w:rFonts w:asciiTheme="majorHAnsi" w:eastAsia="Arial Unicode MS" w:hAnsiTheme="majorHAnsi" w:cstheme="majorHAnsi"/>
          <w:bCs/>
          <w:color w:val="auto"/>
          <w:lang w:val="es-BO"/>
        </w:rPr>
        <w:t xml:space="preserve"> </w:t>
      </w:r>
      <w:r w:rsidR="00B42149">
        <w:rPr>
          <w:rFonts w:asciiTheme="majorHAnsi" w:eastAsia="Arial Unicode MS" w:hAnsiTheme="majorHAnsi" w:cstheme="majorHAnsi"/>
          <w:bCs/>
          <w:color w:val="auto"/>
          <w:lang w:val="es-BO"/>
        </w:rPr>
        <w:t>en el POA 2026.</w:t>
      </w:r>
    </w:p>
    <w:p w14:paraId="258DE23A" w14:textId="77777777" w:rsidR="009A3C43" w:rsidRPr="003E4BAE" w:rsidRDefault="009A3C43" w:rsidP="009A3C43">
      <w:pPr>
        <w:pStyle w:val="ListParagraph"/>
        <w:numPr>
          <w:ilvl w:val="0"/>
          <w:numId w:val="37"/>
        </w:numPr>
        <w:spacing w:before="60" w:after="120" w:line="240" w:lineRule="auto"/>
        <w:contextualSpacing w:val="0"/>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 xml:space="preserve">Desarrollar e implementar </w:t>
      </w:r>
      <w:r w:rsidRPr="003E4BAE">
        <w:rPr>
          <w:rFonts w:asciiTheme="majorHAnsi" w:eastAsia="Arial Unicode MS" w:hAnsiTheme="majorHAnsi" w:cstheme="majorHAnsi"/>
          <w:bCs/>
          <w:color w:val="auto"/>
          <w:lang w:val="es-BO"/>
        </w:rPr>
        <w:t>una metodología que oriente la estimación de presupuestos municipales destinados a DSSDR y VSG.</w:t>
      </w:r>
    </w:p>
    <w:p w14:paraId="415CB41E" w14:textId="03D7222B" w:rsidR="009A3C43" w:rsidRDefault="001015CE" w:rsidP="009A3C43">
      <w:pPr>
        <w:pStyle w:val="ListParagraph"/>
        <w:numPr>
          <w:ilvl w:val="0"/>
          <w:numId w:val="37"/>
        </w:numPr>
        <w:spacing w:before="60" w:after="120" w:line="240" w:lineRule="auto"/>
        <w:contextualSpacing w:val="0"/>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Socialización y capacitación a los servidores públicos</w:t>
      </w:r>
      <w:r w:rsidR="00E31255">
        <w:rPr>
          <w:rFonts w:asciiTheme="majorHAnsi" w:eastAsia="Arial Unicode MS" w:hAnsiTheme="majorHAnsi" w:cstheme="majorHAnsi"/>
          <w:bCs/>
          <w:color w:val="auto"/>
          <w:lang w:val="es-BO"/>
        </w:rPr>
        <w:t xml:space="preserve"> involucrados y sociedad civil</w:t>
      </w:r>
      <w:r>
        <w:rPr>
          <w:rFonts w:asciiTheme="majorHAnsi" w:eastAsia="Arial Unicode MS" w:hAnsiTheme="majorHAnsi" w:cstheme="majorHAnsi"/>
          <w:bCs/>
          <w:color w:val="auto"/>
          <w:lang w:val="es-BO"/>
        </w:rPr>
        <w:t xml:space="preserve"> en el material elaborado.</w:t>
      </w:r>
    </w:p>
    <w:p w14:paraId="6BAAE84F" w14:textId="7A073D13" w:rsidR="009A3C43" w:rsidRDefault="009A3C43" w:rsidP="009A3C43">
      <w:pPr>
        <w:pStyle w:val="ListParagraph"/>
        <w:numPr>
          <w:ilvl w:val="0"/>
          <w:numId w:val="37"/>
        </w:numPr>
        <w:spacing w:before="60" w:after="120" w:line="240" w:lineRule="auto"/>
        <w:contextualSpacing w:val="0"/>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 xml:space="preserve">Asistir </w:t>
      </w:r>
      <w:r w:rsidRPr="009A3C43">
        <w:rPr>
          <w:rFonts w:asciiTheme="majorHAnsi" w:eastAsia="Arial Unicode MS" w:hAnsiTheme="majorHAnsi" w:cstheme="majorHAnsi"/>
          <w:bCs/>
          <w:color w:val="auto"/>
          <w:lang w:val="es-BO"/>
        </w:rPr>
        <w:t xml:space="preserve">técnicamente a los servidores públicos </w:t>
      </w:r>
      <w:r w:rsidR="00E31255">
        <w:rPr>
          <w:rFonts w:asciiTheme="majorHAnsi" w:eastAsia="Arial Unicode MS" w:hAnsiTheme="majorHAnsi" w:cstheme="majorHAnsi"/>
          <w:bCs/>
          <w:color w:val="auto"/>
          <w:lang w:val="es-BO"/>
        </w:rPr>
        <w:t>involucrados</w:t>
      </w:r>
      <w:r w:rsidRPr="009A3C43">
        <w:rPr>
          <w:rFonts w:asciiTheme="majorHAnsi" w:eastAsia="Arial Unicode MS" w:hAnsiTheme="majorHAnsi" w:cstheme="majorHAnsi"/>
          <w:bCs/>
          <w:color w:val="auto"/>
          <w:lang w:val="es-BO"/>
        </w:rPr>
        <w:t xml:space="preserve"> en la formulación del POA Municipal 2026, que garantice la inclusión de actividades y presupuestos de los derechos sexuales y reproductivos (DSSDR) y una vida libre de la Violencia Sexual y de Género (VSG) en el nivel local</w:t>
      </w:r>
      <w:r>
        <w:rPr>
          <w:rFonts w:asciiTheme="majorHAnsi" w:eastAsia="Arial Unicode MS" w:hAnsiTheme="majorHAnsi" w:cstheme="majorHAnsi"/>
          <w:bCs/>
          <w:color w:val="auto"/>
          <w:lang w:val="es-BO"/>
        </w:rPr>
        <w:t>.</w:t>
      </w:r>
    </w:p>
    <w:p w14:paraId="7DB386D1" w14:textId="0A52B136" w:rsidR="009A4015" w:rsidRPr="00C2273D" w:rsidRDefault="00A82020" w:rsidP="00925AC9">
      <w:pPr>
        <w:pStyle w:val="ListParagraph"/>
        <w:numPr>
          <w:ilvl w:val="0"/>
          <w:numId w:val="28"/>
        </w:numPr>
        <w:spacing w:after="120" w:line="240" w:lineRule="auto"/>
        <w:contextualSpacing w:val="0"/>
        <w:rPr>
          <w:rFonts w:asciiTheme="majorHAnsi" w:hAnsiTheme="majorHAnsi" w:cstheme="majorHAnsi"/>
          <w:b/>
          <w:bCs/>
          <w:lang w:val="es-ES"/>
        </w:rPr>
      </w:pPr>
      <w:r w:rsidRPr="00C2273D">
        <w:rPr>
          <w:rFonts w:asciiTheme="majorHAnsi" w:hAnsiTheme="majorHAnsi" w:cstheme="majorHAnsi"/>
          <w:b/>
          <w:bCs/>
          <w:lang w:val="es-ES"/>
        </w:rPr>
        <w:t>ANTECEDENTES</w:t>
      </w:r>
      <w:r w:rsidR="00931ABC" w:rsidRPr="00C2273D">
        <w:rPr>
          <w:rFonts w:asciiTheme="majorHAnsi" w:hAnsiTheme="majorHAnsi" w:cstheme="majorHAnsi"/>
          <w:b/>
          <w:bCs/>
          <w:lang w:val="es-ES"/>
        </w:rPr>
        <w:t>. –</w:t>
      </w:r>
      <w:r w:rsidR="00075E31" w:rsidRPr="00C2273D">
        <w:rPr>
          <w:rFonts w:asciiTheme="majorHAnsi" w:hAnsiTheme="majorHAnsi" w:cstheme="majorHAnsi"/>
          <w:b/>
          <w:bCs/>
          <w:lang w:val="es-ES"/>
        </w:rPr>
        <w:t xml:space="preserve"> </w:t>
      </w:r>
    </w:p>
    <w:p w14:paraId="59012E42" w14:textId="7156D3B8" w:rsidR="00175B69" w:rsidRPr="00175B69" w:rsidRDefault="00175B69" w:rsidP="00925AC9">
      <w:pPr>
        <w:pStyle w:val="paragraph"/>
        <w:spacing w:before="0" w:beforeAutospacing="0" w:after="0"/>
        <w:ind w:left="720"/>
        <w:jc w:val="both"/>
        <w:textAlignment w:val="baseline"/>
        <w:rPr>
          <w:rFonts w:asciiTheme="majorHAnsi" w:eastAsia="Arial Unicode MS" w:hAnsiTheme="majorHAnsi" w:cstheme="majorHAnsi"/>
          <w:bCs/>
          <w:sz w:val="20"/>
          <w:szCs w:val="20"/>
          <w:lang w:val="es-BO"/>
        </w:rPr>
      </w:pPr>
      <w:r w:rsidRPr="00175B69">
        <w:rPr>
          <w:rFonts w:asciiTheme="majorHAnsi" w:eastAsia="Arial Unicode MS" w:hAnsiTheme="majorHAnsi" w:cstheme="majorHAnsi"/>
          <w:bCs/>
          <w:sz w:val="20"/>
          <w:szCs w:val="20"/>
          <w:lang w:val="es-BO"/>
        </w:rPr>
        <w:t>El Programa de País de Bolivia para el periodo 2023-202</w:t>
      </w:r>
      <w:r w:rsidRPr="00731EFA">
        <w:rPr>
          <w:rFonts w:asciiTheme="majorHAnsi" w:eastAsia="Arial Unicode MS" w:hAnsiTheme="majorHAnsi" w:cstheme="majorHAnsi"/>
          <w:bCs/>
          <w:sz w:val="20"/>
          <w:szCs w:val="20"/>
          <w:lang w:val="es-BO"/>
        </w:rPr>
        <w:t xml:space="preserve">7 </w:t>
      </w:r>
      <w:r w:rsidRPr="00175B69">
        <w:rPr>
          <w:rFonts w:asciiTheme="majorHAnsi" w:eastAsia="Arial Unicode MS" w:hAnsiTheme="majorHAnsi" w:cstheme="majorHAnsi"/>
          <w:bCs/>
          <w:sz w:val="20"/>
          <w:szCs w:val="20"/>
          <w:lang w:val="es-BO"/>
        </w:rPr>
        <w:t>contribuirá a las prioridades sociales y de desarrollo que se sintetizan en el Plan de Desarrollo Económico y Social 2021-2025 y la Agenda Patriótica del Bicentenario, y en los planes y estrategias sectoriales y subnacionales orientados a la consecución de los Objetivos de Desarrollo Sostenible</w:t>
      </w:r>
      <w:r w:rsidR="003E4BAE">
        <w:rPr>
          <w:rFonts w:asciiTheme="majorHAnsi" w:eastAsia="Arial Unicode MS" w:hAnsiTheme="majorHAnsi" w:cstheme="majorHAnsi"/>
          <w:bCs/>
          <w:sz w:val="20"/>
          <w:szCs w:val="20"/>
          <w:lang w:val="es-BO"/>
        </w:rPr>
        <w:t xml:space="preserve">, así como </w:t>
      </w:r>
      <w:r w:rsidRPr="00175B69">
        <w:rPr>
          <w:rFonts w:asciiTheme="majorHAnsi" w:eastAsia="Arial Unicode MS" w:hAnsiTheme="majorHAnsi" w:cstheme="majorHAnsi"/>
          <w:bCs/>
          <w:sz w:val="20"/>
          <w:szCs w:val="20"/>
          <w:lang w:val="es-BO"/>
        </w:rPr>
        <w:t xml:space="preserve">al Marco de Cooperación de las Naciones Unidas para el Desarrollo Sostenible (MCNUDS) de Bolivia. </w:t>
      </w:r>
    </w:p>
    <w:p w14:paraId="69A9F931" w14:textId="2ACE3261" w:rsidR="00175B69" w:rsidRDefault="00175B69" w:rsidP="00F756C2">
      <w:pPr>
        <w:pStyle w:val="paragraph"/>
        <w:spacing w:before="240" w:after="0"/>
        <w:ind w:left="720"/>
        <w:jc w:val="both"/>
        <w:textAlignment w:val="baseline"/>
        <w:rPr>
          <w:rFonts w:asciiTheme="majorHAnsi" w:eastAsia="Arial Unicode MS" w:hAnsiTheme="majorHAnsi" w:cstheme="majorHAnsi"/>
          <w:bCs/>
          <w:sz w:val="20"/>
          <w:szCs w:val="20"/>
          <w:lang w:val="es-BO"/>
        </w:rPr>
      </w:pPr>
      <w:r w:rsidRPr="00175B69">
        <w:rPr>
          <w:rFonts w:asciiTheme="majorHAnsi" w:eastAsia="Arial Unicode MS" w:hAnsiTheme="majorHAnsi" w:cstheme="majorHAnsi"/>
          <w:bCs/>
          <w:sz w:val="20"/>
          <w:szCs w:val="20"/>
          <w:lang w:val="es-BO"/>
        </w:rPr>
        <w:t xml:space="preserve">Está fundamentado en el Plan Estratégico del UNICEF para 2022-2025 y en las estrategias expuestas en el Plan de Acción para la Igualdad entre los </w:t>
      </w:r>
      <w:r w:rsidR="00F756C2">
        <w:rPr>
          <w:rFonts w:asciiTheme="majorHAnsi" w:eastAsia="Arial Unicode MS" w:hAnsiTheme="majorHAnsi" w:cstheme="majorHAnsi"/>
          <w:bCs/>
          <w:sz w:val="20"/>
          <w:szCs w:val="20"/>
          <w:lang w:val="es-BO"/>
        </w:rPr>
        <w:t>g</w:t>
      </w:r>
      <w:r w:rsidRPr="00175B69">
        <w:rPr>
          <w:rFonts w:asciiTheme="majorHAnsi" w:eastAsia="Arial Unicode MS" w:hAnsiTheme="majorHAnsi" w:cstheme="majorHAnsi"/>
          <w:bCs/>
          <w:sz w:val="20"/>
          <w:szCs w:val="20"/>
          <w:lang w:val="es-BO"/>
        </w:rPr>
        <w:t>éneros del UNICEF para 2022-2025, en especial las relacionadas con promoción y comunicación, gestión del conocimiento, alianzas, programación con perspectiva de género y el nexo entre la acción humanitaria, el desarrollo y la consolidación de la paz. Las prioridades del Programa para Bolivia se establecieron mediante procesos consultivos basados en el análisis común de las Naciones Unidas sobre el país, el análisis de la situación de la niñez y la evaluación de la ventaja comparativa del UNICEF. Las prioridades que se fijaron resuelven las disparidades continuas y los nuevos riesgos a los que se enfrentan las mujeres y los niños. Es así como se definieron 5 resultados estratégicos: 1) salud y nutrición infantil, 2) educación y aprendizaje, 3) protección de la infancia, 4) agua, saneamiento e higiene y clima y entornos sostenibles, 5) inclusión social.</w:t>
      </w:r>
      <w:r w:rsidRPr="00731EFA">
        <w:rPr>
          <w:rFonts w:asciiTheme="majorHAnsi" w:eastAsia="Arial Unicode MS" w:hAnsiTheme="majorHAnsi" w:cstheme="majorHAnsi"/>
          <w:bCs/>
          <w:sz w:val="20"/>
          <w:szCs w:val="20"/>
          <w:lang w:val="es-BO"/>
        </w:rPr>
        <w:t> </w:t>
      </w:r>
    </w:p>
    <w:p w14:paraId="38C9CB35" w14:textId="77777777" w:rsidR="00175B69" w:rsidRPr="00925AC9" w:rsidRDefault="00175B69" w:rsidP="00925AC9">
      <w:pPr>
        <w:pStyle w:val="ListParagraph"/>
        <w:spacing w:after="120" w:line="240" w:lineRule="auto"/>
        <w:contextualSpacing w:val="0"/>
        <w:rPr>
          <w:rFonts w:asciiTheme="majorHAnsi" w:hAnsiTheme="majorHAnsi" w:cstheme="majorHAnsi"/>
          <w:b/>
          <w:bCs/>
          <w:lang w:val="es-ES"/>
        </w:rPr>
      </w:pPr>
      <w:r w:rsidRPr="00925AC9">
        <w:rPr>
          <w:rFonts w:asciiTheme="majorHAnsi" w:hAnsiTheme="majorHAnsi" w:cstheme="majorHAnsi"/>
          <w:b/>
          <w:bCs/>
          <w:lang w:val="es-ES"/>
        </w:rPr>
        <w:t>Inclusión Social</w:t>
      </w:r>
    </w:p>
    <w:p w14:paraId="2C5C4995" w14:textId="77777777" w:rsidR="00731EFA" w:rsidRDefault="00175B69" w:rsidP="00925AC9">
      <w:pPr>
        <w:pStyle w:val="ListParagraph"/>
        <w:spacing w:after="120" w:line="240" w:lineRule="auto"/>
        <w:contextualSpacing w:val="0"/>
        <w:rPr>
          <w:rFonts w:asciiTheme="majorHAnsi" w:eastAsia="Arial Unicode MS" w:hAnsiTheme="majorHAnsi" w:cstheme="majorHAnsi"/>
          <w:bCs/>
          <w:lang w:val="es-BO"/>
        </w:rPr>
      </w:pPr>
      <w:r w:rsidRPr="00925AC9">
        <w:rPr>
          <w:rFonts w:asciiTheme="majorHAnsi" w:hAnsiTheme="majorHAnsi" w:cstheme="majorHAnsi"/>
          <w:lang w:val="es-ES"/>
        </w:rPr>
        <w:t>Las acciones</w:t>
      </w:r>
      <w:r w:rsidRPr="00175B69">
        <w:rPr>
          <w:rFonts w:asciiTheme="majorHAnsi" w:eastAsia="Arial Unicode MS" w:hAnsiTheme="majorHAnsi" w:cstheme="majorHAnsi"/>
          <w:bCs/>
          <w:lang w:val="es-BO"/>
        </w:rPr>
        <w:t xml:space="preserve"> de este componente contribuirán al objetivo 1.3 del Plan de Desarrollo Económico y Social, que consiste en reducir la cifra de niños que viven en condiciones de pobreza monetaria y multidimensional, así como en potenciar la resiliencia de las familias frente a las conmociones económicas, el cambio climático y demás perturbaciones. Las prioridades son:</w:t>
      </w:r>
    </w:p>
    <w:p w14:paraId="0C26C9F3" w14:textId="77777777" w:rsidR="00925AC9" w:rsidRDefault="00175B69" w:rsidP="00925AC9">
      <w:pPr>
        <w:pStyle w:val="paragraph"/>
        <w:numPr>
          <w:ilvl w:val="0"/>
          <w:numId w:val="35"/>
        </w:numPr>
        <w:tabs>
          <w:tab w:val="left" w:pos="990"/>
          <w:tab w:val="left" w:pos="1530"/>
        </w:tabs>
        <w:spacing w:after="240"/>
        <w:ind w:firstLine="360"/>
        <w:jc w:val="both"/>
        <w:textAlignment w:val="baseline"/>
        <w:rPr>
          <w:rFonts w:asciiTheme="majorHAnsi" w:eastAsia="Arial Unicode MS" w:hAnsiTheme="majorHAnsi" w:cstheme="majorHAnsi"/>
          <w:bCs/>
          <w:sz w:val="20"/>
          <w:szCs w:val="20"/>
          <w:lang w:val="es-BO"/>
        </w:rPr>
      </w:pPr>
      <w:r w:rsidRPr="00175B69">
        <w:rPr>
          <w:rFonts w:asciiTheme="majorHAnsi" w:eastAsia="Arial Unicode MS" w:hAnsiTheme="majorHAnsi" w:cstheme="majorHAnsi"/>
          <w:bCs/>
          <w:sz w:val="20"/>
          <w:szCs w:val="20"/>
          <w:lang w:val="es-BO"/>
        </w:rPr>
        <w:lastRenderedPageBreak/>
        <w:t xml:space="preserve">aumentar la eficacia de los programas de protección social; </w:t>
      </w:r>
    </w:p>
    <w:p w14:paraId="3046CC14" w14:textId="77777777" w:rsidR="00925AC9" w:rsidRDefault="00175B69" w:rsidP="00925AC9">
      <w:pPr>
        <w:pStyle w:val="paragraph"/>
        <w:numPr>
          <w:ilvl w:val="0"/>
          <w:numId w:val="35"/>
        </w:numPr>
        <w:tabs>
          <w:tab w:val="left" w:pos="990"/>
          <w:tab w:val="left" w:pos="1530"/>
        </w:tabs>
        <w:spacing w:after="240"/>
        <w:ind w:left="1530" w:hanging="450"/>
        <w:jc w:val="both"/>
        <w:textAlignment w:val="baseline"/>
        <w:rPr>
          <w:rFonts w:asciiTheme="majorHAnsi" w:eastAsia="Arial Unicode MS" w:hAnsiTheme="majorHAnsi" w:cstheme="majorHAnsi"/>
          <w:bCs/>
          <w:sz w:val="20"/>
          <w:szCs w:val="20"/>
          <w:lang w:val="es-BO"/>
        </w:rPr>
      </w:pPr>
      <w:r w:rsidRPr="00925AC9">
        <w:rPr>
          <w:rFonts w:asciiTheme="majorHAnsi" w:eastAsia="Arial Unicode MS" w:hAnsiTheme="majorHAnsi" w:cstheme="majorHAnsi"/>
          <w:bCs/>
          <w:sz w:val="20"/>
          <w:szCs w:val="20"/>
          <w:lang w:val="es-BO"/>
        </w:rPr>
        <w:t>llevar a cabo labores de abogacía basada en evidencia en torno a la pobreza y la vulnerabilidad infantiles con el objetivo de intensificar los efectos de la financiación pública en favor de los pobres y centrada en la infancia; y</w:t>
      </w:r>
      <w:r w:rsidR="00925AC9">
        <w:rPr>
          <w:rFonts w:asciiTheme="majorHAnsi" w:eastAsia="Arial Unicode MS" w:hAnsiTheme="majorHAnsi" w:cstheme="majorHAnsi"/>
          <w:bCs/>
          <w:sz w:val="20"/>
          <w:szCs w:val="20"/>
          <w:lang w:val="es-BO"/>
        </w:rPr>
        <w:t xml:space="preserve"> </w:t>
      </w:r>
    </w:p>
    <w:p w14:paraId="481BE2A8" w14:textId="4333AB7E" w:rsidR="00175B69" w:rsidRPr="00925AC9" w:rsidRDefault="00175B69" w:rsidP="00925AC9">
      <w:pPr>
        <w:pStyle w:val="paragraph"/>
        <w:numPr>
          <w:ilvl w:val="0"/>
          <w:numId w:val="35"/>
        </w:numPr>
        <w:tabs>
          <w:tab w:val="left" w:pos="990"/>
          <w:tab w:val="left" w:pos="1530"/>
        </w:tabs>
        <w:spacing w:after="240"/>
        <w:ind w:firstLine="360"/>
        <w:jc w:val="both"/>
        <w:textAlignment w:val="baseline"/>
        <w:rPr>
          <w:rFonts w:asciiTheme="majorHAnsi" w:eastAsia="Arial Unicode MS" w:hAnsiTheme="majorHAnsi" w:cstheme="majorHAnsi"/>
          <w:bCs/>
          <w:sz w:val="20"/>
          <w:szCs w:val="20"/>
          <w:lang w:val="es-BO"/>
        </w:rPr>
      </w:pPr>
      <w:r w:rsidRPr="00925AC9">
        <w:rPr>
          <w:rFonts w:asciiTheme="majorHAnsi" w:eastAsia="Arial Unicode MS" w:hAnsiTheme="majorHAnsi" w:cstheme="majorHAnsi"/>
          <w:bCs/>
          <w:sz w:val="20"/>
          <w:szCs w:val="20"/>
          <w:lang w:val="es-BO"/>
        </w:rPr>
        <w:t>reforzar las capacidades institucionales de formulación e implementación de políticas dirigidas a la infancia.</w:t>
      </w:r>
    </w:p>
    <w:p w14:paraId="70D3352C" w14:textId="77777777" w:rsidR="00175B69" w:rsidRPr="00731EFA" w:rsidRDefault="00175B69" w:rsidP="00F756C2">
      <w:pPr>
        <w:pStyle w:val="paragraph"/>
        <w:spacing w:after="240"/>
        <w:ind w:firstLine="720"/>
        <w:jc w:val="both"/>
        <w:textAlignment w:val="baseline"/>
        <w:rPr>
          <w:rFonts w:asciiTheme="majorHAnsi" w:eastAsia="Arial Unicode MS" w:hAnsiTheme="majorHAnsi" w:cstheme="majorHAnsi"/>
          <w:b/>
          <w:bCs/>
          <w:i/>
          <w:iCs/>
          <w:sz w:val="20"/>
          <w:szCs w:val="20"/>
          <w:lang w:val="es-BO"/>
        </w:rPr>
      </w:pPr>
      <w:r w:rsidRPr="00731EFA">
        <w:rPr>
          <w:rFonts w:asciiTheme="majorHAnsi" w:eastAsia="Arial Unicode MS" w:hAnsiTheme="majorHAnsi" w:cstheme="majorHAnsi"/>
          <w:b/>
          <w:bCs/>
          <w:i/>
          <w:iCs/>
          <w:sz w:val="20"/>
          <w:szCs w:val="20"/>
          <w:lang w:val="es-BO"/>
        </w:rPr>
        <w:t>La niñez y adolescencia en las políticas públicas a nivel subnacional </w:t>
      </w:r>
    </w:p>
    <w:p w14:paraId="71ABD9A2" w14:textId="75204EA6" w:rsidR="00175B69" w:rsidRPr="00F756C2" w:rsidRDefault="00175B69" w:rsidP="00F756C2">
      <w:pPr>
        <w:pStyle w:val="paragraph"/>
        <w:spacing w:before="0" w:beforeAutospacing="0" w:after="240" w:afterAutospacing="0"/>
        <w:ind w:left="720"/>
        <w:jc w:val="both"/>
        <w:textAlignment w:val="baseline"/>
        <w:rPr>
          <w:rFonts w:asciiTheme="majorHAnsi" w:eastAsia="Arial Unicode MS" w:hAnsiTheme="majorHAnsi" w:cstheme="majorHAnsi"/>
          <w:bCs/>
          <w:sz w:val="20"/>
          <w:szCs w:val="20"/>
          <w:lang w:val="es-BO"/>
        </w:rPr>
      </w:pPr>
      <w:r w:rsidRPr="00F756C2">
        <w:rPr>
          <w:rFonts w:asciiTheme="majorHAnsi" w:eastAsia="Arial Unicode MS" w:hAnsiTheme="majorHAnsi" w:cstheme="majorHAnsi"/>
          <w:bCs/>
          <w:sz w:val="20"/>
          <w:szCs w:val="20"/>
          <w:lang w:val="es-BO"/>
        </w:rPr>
        <w:t>El Código Niña, Niño y Adolescente</w:t>
      </w:r>
      <w:r w:rsidR="000764CE">
        <w:rPr>
          <w:rFonts w:asciiTheme="majorHAnsi" w:eastAsia="Arial Unicode MS" w:hAnsiTheme="majorHAnsi" w:cstheme="majorHAnsi"/>
          <w:bCs/>
          <w:sz w:val="20"/>
          <w:szCs w:val="20"/>
          <w:lang w:val="es-BO"/>
        </w:rPr>
        <w:t>,</w:t>
      </w:r>
      <w:r w:rsidRPr="00F756C2">
        <w:rPr>
          <w:rFonts w:asciiTheme="majorHAnsi" w:eastAsia="Arial Unicode MS" w:hAnsiTheme="majorHAnsi" w:cstheme="majorHAnsi"/>
          <w:bCs/>
          <w:sz w:val="20"/>
          <w:szCs w:val="20"/>
          <w:lang w:val="es-BO"/>
        </w:rPr>
        <w:t xml:space="preserve"> Ley Nro. 548 adecúa su marco normativo con los preceptos de la Convención de los Derechos de los Niños, a la cual Bolivia como Estado se encuentra adherida desde el año 1990. El Código tiene como objetivo reconocer, desarrollar y regular el ejercicio de los derechos de la niña, niño y adolescente y que éstos sean cumplidos de forma integral. Para tal propósito, el Código define y crea importantes mecanismos para la garantía de los derechos de la niñez y adolescencia en todos los niveles de gobierno. Sin embargo, existen aún bastantes desafíos para la efectiva implementación de sus diferentes mecanismos, principalmente en el nivel subnacional. Entre éstos se encuentra la conformación de los Comités de Niñas, Niños y Adolescentes, los Planes Departamentales y Municipales de Niñez y Adolescencia, entre otros. Es por esto </w:t>
      </w:r>
      <w:proofErr w:type="gramStart"/>
      <w:r w:rsidRPr="00F756C2">
        <w:rPr>
          <w:rFonts w:asciiTheme="majorHAnsi" w:eastAsia="Arial Unicode MS" w:hAnsiTheme="majorHAnsi" w:cstheme="majorHAnsi"/>
          <w:bCs/>
          <w:sz w:val="20"/>
          <w:szCs w:val="20"/>
          <w:lang w:val="es-BO"/>
        </w:rPr>
        <w:t>que</w:t>
      </w:r>
      <w:proofErr w:type="gramEnd"/>
      <w:r w:rsidRPr="00F756C2">
        <w:rPr>
          <w:rFonts w:asciiTheme="majorHAnsi" w:eastAsia="Arial Unicode MS" w:hAnsiTheme="majorHAnsi" w:cstheme="majorHAnsi"/>
          <w:bCs/>
          <w:sz w:val="20"/>
          <w:szCs w:val="20"/>
          <w:lang w:val="es-BO"/>
        </w:rPr>
        <w:t xml:space="preserve"> es importante adecuar las políticas y programas territoriales bajo el enfoque de derechos de niñez.</w:t>
      </w:r>
      <w:r w:rsidRPr="00731EFA">
        <w:rPr>
          <w:rFonts w:asciiTheme="majorHAnsi" w:eastAsia="Arial Unicode MS" w:hAnsiTheme="majorHAnsi" w:cstheme="majorHAnsi"/>
          <w:bCs/>
          <w:sz w:val="20"/>
          <w:szCs w:val="20"/>
          <w:lang w:val="es-BO"/>
        </w:rPr>
        <w:t> </w:t>
      </w:r>
    </w:p>
    <w:p w14:paraId="68C91768" w14:textId="77777777" w:rsidR="00175B69" w:rsidRPr="00731EFA" w:rsidRDefault="00175B69" w:rsidP="00F756C2">
      <w:pPr>
        <w:pStyle w:val="paragraph"/>
        <w:spacing w:before="0" w:beforeAutospacing="0" w:after="240" w:afterAutospacing="0"/>
        <w:ind w:left="720"/>
        <w:jc w:val="both"/>
        <w:textAlignment w:val="baseline"/>
        <w:rPr>
          <w:rFonts w:asciiTheme="majorHAnsi" w:eastAsia="Arial Unicode MS" w:hAnsiTheme="majorHAnsi" w:cstheme="majorHAnsi"/>
          <w:bCs/>
          <w:sz w:val="20"/>
          <w:szCs w:val="20"/>
          <w:lang w:val="es-BO"/>
        </w:rPr>
      </w:pPr>
      <w:r w:rsidRPr="00F756C2">
        <w:rPr>
          <w:rFonts w:asciiTheme="majorHAnsi" w:eastAsia="Arial Unicode MS" w:hAnsiTheme="majorHAnsi" w:cstheme="majorHAnsi"/>
          <w:bCs/>
          <w:sz w:val="20"/>
          <w:szCs w:val="20"/>
          <w:lang w:val="es-BO"/>
        </w:rPr>
        <w:t xml:space="preserve">El nivel subnacional es fundamental para garantizar los derechos de todas las niñas, niños y adolescentes, al ser el más cercano a la realidad y las condiciones de vida de esta población. Es así como los ámbitos departamental y municipal son escenarios fundamentales </w:t>
      </w:r>
      <w:r w:rsidRPr="00A86FDC">
        <w:rPr>
          <w:rFonts w:asciiTheme="majorHAnsi" w:eastAsia="Arial Unicode MS" w:hAnsiTheme="majorHAnsi" w:cstheme="majorHAnsi"/>
          <w:bCs/>
          <w:sz w:val="20"/>
          <w:szCs w:val="20"/>
          <w:lang w:val="es-BO"/>
        </w:rPr>
        <w:t>para plasmar el compromiso de un país con su niñez y adolescencia. Si las atribuciones y mecanismos específicos para los niveles departamental y municipal en la garantía de los derechos de su niñez no son implementados, la aplicación del Código como tal queda inconclusa.</w:t>
      </w:r>
      <w:r w:rsidRPr="00731EFA">
        <w:rPr>
          <w:rFonts w:asciiTheme="majorHAnsi" w:eastAsia="Arial Unicode MS" w:hAnsiTheme="majorHAnsi" w:cstheme="majorHAnsi"/>
          <w:bCs/>
          <w:sz w:val="20"/>
          <w:szCs w:val="20"/>
          <w:lang w:val="es-BO"/>
        </w:rPr>
        <w:t> </w:t>
      </w:r>
    </w:p>
    <w:p w14:paraId="7DABA207" w14:textId="6289E125" w:rsidR="00F756C2" w:rsidRPr="00731EFA" w:rsidRDefault="00F756C2" w:rsidP="00F756C2">
      <w:pPr>
        <w:pStyle w:val="paragraph"/>
        <w:spacing w:after="240"/>
        <w:ind w:left="720"/>
        <w:jc w:val="both"/>
        <w:textAlignment w:val="baseline"/>
        <w:rPr>
          <w:rFonts w:asciiTheme="majorHAnsi" w:eastAsia="Arial Unicode MS" w:hAnsiTheme="majorHAnsi" w:cstheme="majorHAnsi"/>
          <w:b/>
          <w:bCs/>
          <w:i/>
          <w:iCs/>
          <w:sz w:val="20"/>
          <w:szCs w:val="20"/>
          <w:lang w:val="es-BO"/>
        </w:rPr>
      </w:pPr>
      <w:r w:rsidRPr="00731EFA">
        <w:rPr>
          <w:rFonts w:asciiTheme="majorHAnsi" w:eastAsia="Arial Unicode MS" w:hAnsiTheme="majorHAnsi" w:cstheme="majorHAnsi"/>
          <w:b/>
          <w:bCs/>
          <w:i/>
          <w:iCs/>
          <w:sz w:val="20"/>
          <w:szCs w:val="20"/>
          <w:lang w:val="es-BO"/>
        </w:rPr>
        <w:t>Proyecto ‘’La Salud y los Derechos Sexuales y Reproductivos y una vida libre de la Violencia Sexual y de Género para las mujeres y niñas más vulnerables, Bolivia 2024- 2028</w:t>
      </w:r>
    </w:p>
    <w:p w14:paraId="3C73DC1B" w14:textId="77777777" w:rsidR="00F756C2" w:rsidRPr="00F756C2" w:rsidRDefault="00F756C2" w:rsidP="00F756C2">
      <w:pPr>
        <w:spacing w:before="240" w:after="120" w:line="240" w:lineRule="auto"/>
        <w:ind w:left="720"/>
        <w:jc w:val="both"/>
        <w:rPr>
          <w:rFonts w:asciiTheme="majorHAnsi" w:hAnsiTheme="majorHAnsi" w:cstheme="majorHAnsi"/>
          <w:lang w:val="es-BO"/>
        </w:rPr>
      </w:pPr>
      <w:r w:rsidRPr="00F756C2">
        <w:rPr>
          <w:rFonts w:asciiTheme="majorHAnsi" w:hAnsiTheme="majorHAnsi" w:cstheme="majorHAnsi"/>
          <w:lang w:val="es-BO"/>
        </w:rPr>
        <w:t>UNICEF Bolivia, en alianza con UNFPA y ONU Mujeres, trabaja en el proyecto Salud y Derechos Sexuales y Reproductivos y una vida libre de la Violencia Sexual y de Género en Bolivia. El proyecto tiene como objetivo, mejorar significativamente el ejercicio la salud y de los derechos sexuales y reproductivos (SRHR) de mujeres indígenas, adolescentes y niñas en Bolivia, que experimentan violencia, pobreza, marginalización y exclusión, a través de:</w:t>
      </w:r>
    </w:p>
    <w:p w14:paraId="6ADB15F7" w14:textId="77777777" w:rsidR="00731EFA" w:rsidRDefault="00F756C2" w:rsidP="00731EFA">
      <w:pPr>
        <w:pStyle w:val="paragraph"/>
        <w:numPr>
          <w:ilvl w:val="0"/>
          <w:numId w:val="38"/>
        </w:numPr>
        <w:tabs>
          <w:tab w:val="left" w:pos="990"/>
        </w:tabs>
        <w:spacing w:before="240" w:beforeAutospacing="0"/>
        <w:ind w:left="994" w:hanging="274"/>
        <w:jc w:val="both"/>
        <w:textAlignment w:val="baseline"/>
        <w:rPr>
          <w:rFonts w:asciiTheme="majorHAnsi" w:eastAsia="Arial Unicode MS" w:hAnsiTheme="majorHAnsi" w:cstheme="majorHAnsi"/>
          <w:bCs/>
          <w:sz w:val="20"/>
          <w:szCs w:val="20"/>
          <w:lang w:val="es-BO"/>
        </w:rPr>
      </w:pPr>
      <w:r w:rsidRPr="00731EFA">
        <w:rPr>
          <w:rFonts w:asciiTheme="majorHAnsi" w:eastAsia="Arial Unicode MS" w:hAnsiTheme="majorHAnsi" w:cstheme="majorHAnsi"/>
          <w:bCs/>
          <w:sz w:val="20"/>
          <w:szCs w:val="20"/>
          <w:lang w:val="es-BO"/>
        </w:rPr>
        <w:t>Mayor disponibilidad y uso de servicios integrales, adecuados a la edad y de calidad para la salud sexual y reproductiva (y prevención de la violencia) por parte de las adolescentes y los adolescentes, las personas LGBTQ+, libres de prejuicios y discriminación</w:t>
      </w:r>
      <w:r w:rsidR="00AB2BAA" w:rsidRPr="00731EFA">
        <w:rPr>
          <w:rFonts w:asciiTheme="majorHAnsi" w:eastAsia="Arial Unicode MS" w:hAnsiTheme="majorHAnsi" w:cstheme="majorHAnsi"/>
          <w:bCs/>
          <w:sz w:val="20"/>
          <w:szCs w:val="20"/>
          <w:lang w:val="es-BO"/>
        </w:rPr>
        <w:t xml:space="preserve"> </w:t>
      </w:r>
      <w:r w:rsidRPr="00731EFA">
        <w:rPr>
          <w:rFonts w:asciiTheme="majorHAnsi" w:eastAsia="Arial Unicode MS" w:hAnsiTheme="majorHAnsi" w:cstheme="majorHAnsi"/>
          <w:bCs/>
          <w:sz w:val="20"/>
          <w:szCs w:val="20"/>
          <w:lang w:val="es-BO"/>
        </w:rPr>
        <w:t>y;</w:t>
      </w:r>
    </w:p>
    <w:p w14:paraId="16A4DF3D" w14:textId="4F2573DF" w:rsidR="00F756C2" w:rsidRPr="00731EFA" w:rsidRDefault="00F756C2" w:rsidP="00731EFA">
      <w:pPr>
        <w:pStyle w:val="paragraph"/>
        <w:numPr>
          <w:ilvl w:val="0"/>
          <w:numId w:val="38"/>
        </w:numPr>
        <w:tabs>
          <w:tab w:val="left" w:pos="990"/>
        </w:tabs>
        <w:spacing w:before="240" w:beforeAutospacing="0"/>
        <w:ind w:left="994" w:hanging="274"/>
        <w:jc w:val="both"/>
        <w:textAlignment w:val="baseline"/>
        <w:rPr>
          <w:rFonts w:asciiTheme="majorHAnsi" w:eastAsia="Arial Unicode MS" w:hAnsiTheme="majorHAnsi" w:cstheme="majorHAnsi"/>
          <w:bCs/>
          <w:sz w:val="20"/>
          <w:szCs w:val="20"/>
          <w:lang w:val="es-BO"/>
        </w:rPr>
      </w:pPr>
      <w:r w:rsidRPr="00731EFA">
        <w:rPr>
          <w:rFonts w:asciiTheme="majorHAnsi" w:eastAsia="Arial Unicode MS" w:hAnsiTheme="majorHAnsi" w:cstheme="majorHAnsi"/>
          <w:bCs/>
          <w:sz w:val="20"/>
          <w:szCs w:val="20"/>
          <w:lang w:val="es-BO"/>
        </w:rPr>
        <w:t>La reducción de las prácticas nocivas, como las normas y actitudes sociales discriminatorias, la violencia sexual y de género y el matrimonio infantil, precoz y forzado.</w:t>
      </w:r>
    </w:p>
    <w:p w14:paraId="4E14E26E" w14:textId="77777777" w:rsidR="00F756C2" w:rsidRDefault="00F756C2" w:rsidP="00F756C2">
      <w:pPr>
        <w:spacing w:before="240" w:after="120" w:line="240" w:lineRule="auto"/>
        <w:ind w:left="720"/>
        <w:jc w:val="both"/>
        <w:rPr>
          <w:rFonts w:asciiTheme="majorHAnsi" w:hAnsiTheme="majorHAnsi" w:cstheme="majorHAnsi"/>
          <w:lang w:val="es-BO"/>
        </w:rPr>
      </w:pPr>
      <w:r w:rsidRPr="00F756C2">
        <w:rPr>
          <w:rFonts w:asciiTheme="majorHAnsi" w:hAnsiTheme="majorHAnsi" w:cstheme="majorHAnsi"/>
          <w:lang w:val="es-BO"/>
        </w:rPr>
        <w:t xml:space="preserve">Aumentar la disponibilidad y el uso de los servicios de prevención y atención de la salud y los derechos sexuales y reproductivos y la violencia sexual y reproductiva por parte de las niñas, las adolescentes y las mujeres, en particular las que se encuentran en condiciones de vulnerabilidad, requiere del acompañamiento y fortalecimiento de la planificación presupuestaria y el gasto municipal (incluyendo la identificación de brechas de eficiencia, el seguimiento de la asignación presupuestaria y el apoyo a los mecanismos de articulación intersectorial). Con el programa se propone mejoras de eficiencia para mejorar la gestión pública y promover un mayor financiamiento para la violencia sexual y reproductiva en áreas remotas, que es donde las barreras de acceso son más fuertes. </w:t>
      </w:r>
    </w:p>
    <w:p w14:paraId="24C1E3F5" w14:textId="123F6371" w:rsidR="00175B69" w:rsidRPr="00175B69" w:rsidRDefault="00F756C2" w:rsidP="00F756C2">
      <w:pPr>
        <w:spacing w:before="240" w:after="120" w:line="240" w:lineRule="auto"/>
        <w:ind w:left="720"/>
        <w:jc w:val="both"/>
        <w:rPr>
          <w:rFonts w:asciiTheme="majorHAnsi" w:hAnsiTheme="majorHAnsi" w:cstheme="majorHAnsi"/>
          <w:lang w:val="es-BO"/>
        </w:rPr>
      </w:pPr>
      <w:r w:rsidRPr="00F756C2">
        <w:rPr>
          <w:rFonts w:asciiTheme="majorHAnsi" w:hAnsiTheme="majorHAnsi" w:cstheme="majorHAnsi"/>
          <w:lang w:val="es-BO"/>
        </w:rPr>
        <w:t>Esto supone además una mayor participación de los beneficiarios en el cambio de las normas sociales y en la adopción de decisiones, aumentando el conocimiento de los servicios disponibles y la apropiación de los procesos y la iniciativa, promoviendo así una mayor demanda de servicios de calidad. Por tanto, es importante también fortalecer el conocimiento de los Comités Municipales de la Niñez sobre SDSR y promover espacios formales que recojan y dirijan la voz y opinión de estos órganos de participación a los tomadores de decisiones, a través de consultas y co-creación de contenidos para la difusión digital, la generación de espacios de diálogo e incidencia y el desarrollo e implementación de políticas relacionadas a la prevención del embarazo adolescente.</w:t>
      </w:r>
    </w:p>
    <w:p w14:paraId="3434EA55" w14:textId="37A7DD9E" w:rsidR="001C45A2" w:rsidRDefault="0076060C" w:rsidP="001C45A2">
      <w:pPr>
        <w:spacing w:before="240" w:after="120" w:line="240" w:lineRule="auto"/>
        <w:ind w:left="720"/>
        <w:jc w:val="both"/>
        <w:rPr>
          <w:rFonts w:asciiTheme="majorHAnsi" w:hAnsiTheme="majorHAnsi" w:cstheme="majorHAnsi"/>
          <w:lang w:val="es-ES"/>
        </w:rPr>
      </w:pPr>
      <w:r w:rsidRPr="0076060C">
        <w:rPr>
          <w:rFonts w:asciiTheme="majorHAnsi" w:hAnsiTheme="majorHAnsi" w:cstheme="majorHAnsi"/>
          <w:lang w:val="es-ES"/>
        </w:rPr>
        <w:lastRenderedPageBreak/>
        <w:t>En este contexto, la creación y validación de una guía para la inclusión de acciones y presupuestos en el POA Municipal 2026</w:t>
      </w:r>
      <w:r w:rsidR="0023178D">
        <w:rPr>
          <w:rFonts w:asciiTheme="majorHAnsi" w:hAnsiTheme="majorHAnsi" w:cstheme="majorHAnsi"/>
          <w:lang w:val="es-ES"/>
        </w:rPr>
        <w:t xml:space="preserve"> y el fortalecimiento de las capacidades locales de los equipos municipales</w:t>
      </w:r>
      <w:r w:rsidRPr="0076060C">
        <w:rPr>
          <w:rFonts w:asciiTheme="majorHAnsi" w:hAnsiTheme="majorHAnsi" w:cstheme="majorHAnsi"/>
          <w:lang w:val="es-ES"/>
        </w:rPr>
        <w:t>, junto con el desarrollo e implementación de una metodología para la estimación de presupuestos municipales, contribuirá significativamente al fortalecimiento de la planificación y presupuestación municipal. Esto permitirá abordar de manera efectiva la salud y los derechos sexuales y reproductivos (DSSDR) y promover una vida libre de Violencia Sexual y de Género (VSG) en los municipios de El Alto, Trinidad y Cobija.</w:t>
      </w:r>
    </w:p>
    <w:p w14:paraId="09869E0D" w14:textId="57D54AE0" w:rsidR="00EB24BE" w:rsidRPr="00931ABC" w:rsidRDefault="00EB24BE">
      <w:pPr>
        <w:spacing w:line="240" w:lineRule="auto"/>
        <w:rPr>
          <w:rFonts w:asciiTheme="majorHAnsi" w:eastAsia="Arial Unicode MS" w:hAnsiTheme="majorHAnsi" w:cstheme="majorHAnsi"/>
          <w:b/>
          <w:color w:val="auto"/>
          <w:lang w:val="es-419"/>
        </w:rPr>
      </w:pPr>
    </w:p>
    <w:p w14:paraId="365CEC32" w14:textId="58A90D32" w:rsidR="0020238B" w:rsidRDefault="00542273" w:rsidP="0020238B">
      <w:pPr>
        <w:pStyle w:val="ListParagraph"/>
        <w:numPr>
          <w:ilvl w:val="0"/>
          <w:numId w:val="28"/>
        </w:numPr>
        <w:spacing w:before="60" w:after="60" w:line="240" w:lineRule="auto"/>
        <w:rPr>
          <w:rFonts w:asciiTheme="majorHAnsi" w:hAnsiTheme="majorHAnsi" w:cstheme="majorHAnsi"/>
          <w:b/>
          <w:bCs/>
          <w:lang w:val="es-ES"/>
        </w:rPr>
      </w:pPr>
      <w:r w:rsidRPr="00931ABC">
        <w:rPr>
          <w:rFonts w:asciiTheme="majorHAnsi" w:hAnsiTheme="majorHAnsi" w:cstheme="majorHAnsi"/>
          <w:b/>
          <w:bCs/>
          <w:lang w:val="es-ES"/>
        </w:rPr>
        <w:t>DE</w:t>
      </w:r>
      <w:r w:rsidR="00363CA2" w:rsidRPr="00931ABC">
        <w:rPr>
          <w:rFonts w:asciiTheme="majorHAnsi" w:hAnsiTheme="majorHAnsi" w:cstheme="majorHAnsi"/>
          <w:b/>
          <w:bCs/>
          <w:lang w:val="es-ES"/>
        </w:rPr>
        <w:t>SCRIPCIÓN D</w:t>
      </w:r>
      <w:r w:rsidRPr="00931ABC">
        <w:rPr>
          <w:rFonts w:asciiTheme="majorHAnsi" w:hAnsiTheme="majorHAnsi" w:cstheme="majorHAnsi"/>
          <w:b/>
          <w:bCs/>
          <w:lang w:val="es-ES"/>
        </w:rPr>
        <w:t xml:space="preserve">E LA </w:t>
      </w:r>
      <w:r w:rsidR="00931ABC" w:rsidRPr="00931ABC">
        <w:rPr>
          <w:rFonts w:asciiTheme="majorHAnsi" w:hAnsiTheme="majorHAnsi" w:cstheme="majorHAnsi"/>
          <w:b/>
          <w:bCs/>
          <w:lang w:val="es-ES"/>
        </w:rPr>
        <w:t xml:space="preserve">CONSULTORÍA. </w:t>
      </w:r>
      <w:r w:rsidR="00103826">
        <w:rPr>
          <w:rFonts w:asciiTheme="majorHAnsi" w:hAnsiTheme="majorHAnsi" w:cstheme="majorHAnsi"/>
          <w:b/>
          <w:bCs/>
          <w:lang w:val="es-ES"/>
        </w:rPr>
        <w:t>–</w:t>
      </w:r>
      <w:r w:rsidRPr="00931ABC">
        <w:rPr>
          <w:rFonts w:asciiTheme="majorHAnsi" w:hAnsiTheme="majorHAnsi" w:cstheme="majorHAnsi"/>
          <w:b/>
          <w:bCs/>
          <w:lang w:val="es-ES"/>
        </w:rPr>
        <w:t xml:space="preserve"> </w:t>
      </w:r>
    </w:p>
    <w:p w14:paraId="043A79A8" w14:textId="77777777" w:rsidR="00103826" w:rsidRPr="00931ABC" w:rsidRDefault="00103826" w:rsidP="00103826">
      <w:pPr>
        <w:pStyle w:val="ListParagraph"/>
        <w:spacing w:before="60" w:after="60" w:line="240" w:lineRule="auto"/>
        <w:rPr>
          <w:rFonts w:asciiTheme="majorHAnsi" w:hAnsiTheme="majorHAnsi" w:cstheme="majorHAnsi"/>
          <w:b/>
          <w:bCs/>
          <w:lang w:val="es-ES"/>
        </w:rPr>
      </w:pPr>
    </w:p>
    <w:tbl>
      <w:tblPr>
        <w:tblStyle w:val="TableGrid"/>
        <w:tblW w:w="10149" w:type="dxa"/>
        <w:tblLayout w:type="fixed"/>
        <w:tblLook w:val="04A0" w:firstRow="1" w:lastRow="0" w:firstColumn="1" w:lastColumn="0" w:noHBand="0" w:noVBand="1"/>
      </w:tblPr>
      <w:tblGrid>
        <w:gridCol w:w="622"/>
        <w:gridCol w:w="1622"/>
        <w:gridCol w:w="2431"/>
        <w:gridCol w:w="2700"/>
        <w:gridCol w:w="1778"/>
        <w:gridCol w:w="990"/>
        <w:gridCol w:w="6"/>
      </w:tblGrid>
      <w:tr w:rsidR="00F8369E" w:rsidRPr="00103826" w14:paraId="1BCEEF3E" w14:textId="0A068D31" w:rsidTr="00103826">
        <w:trPr>
          <w:cantSplit/>
        </w:trPr>
        <w:tc>
          <w:tcPr>
            <w:tcW w:w="4675" w:type="dxa"/>
            <w:gridSpan w:val="3"/>
          </w:tcPr>
          <w:p w14:paraId="4B33C30F" w14:textId="19858062" w:rsidR="00EF5BAD" w:rsidRPr="00931ABC" w:rsidRDefault="00F8369E" w:rsidP="00103826">
            <w:pPr>
              <w:spacing w:before="60" w:after="60" w:line="240" w:lineRule="auto"/>
              <w:rPr>
                <w:rFonts w:asciiTheme="majorHAnsi" w:eastAsia="Arial Unicode MS" w:hAnsiTheme="majorHAnsi" w:cstheme="majorHAnsi"/>
                <w:b/>
                <w:color w:val="auto"/>
              </w:rPr>
            </w:pPr>
            <w:r w:rsidRPr="00075BA9">
              <w:rPr>
                <w:rFonts w:asciiTheme="majorHAnsi" w:eastAsia="Arial Unicode MS" w:hAnsiTheme="majorHAnsi" w:cstheme="majorHAnsi"/>
                <w:b/>
                <w:color w:val="auto"/>
                <w:lang w:val="es-BO"/>
              </w:rPr>
              <w:t>SUPERVISOR</w:t>
            </w:r>
            <w:r w:rsidR="00103826">
              <w:rPr>
                <w:rFonts w:asciiTheme="majorHAnsi" w:eastAsia="Arial Unicode MS" w:hAnsiTheme="majorHAnsi" w:cstheme="majorHAnsi"/>
                <w:b/>
                <w:color w:val="auto"/>
                <w:lang w:val="es-BO"/>
              </w:rPr>
              <w:t xml:space="preserve">: </w:t>
            </w:r>
            <w:r w:rsidR="00075BA9" w:rsidRPr="004F6D00">
              <w:rPr>
                <w:rFonts w:asciiTheme="majorHAnsi" w:hAnsiTheme="majorHAnsi" w:cstheme="majorHAnsi"/>
                <w:color w:val="auto"/>
                <w:lang w:val="es-BO"/>
              </w:rPr>
              <w:t>Especialista</w:t>
            </w:r>
            <w:r w:rsidR="00F73BF7" w:rsidRPr="004F6D00">
              <w:rPr>
                <w:rFonts w:asciiTheme="majorHAnsi" w:hAnsiTheme="majorHAnsi" w:cstheme="majorHAnsi"/>
                <w:color w:val="auto"/>
                <w:lang w:val="es-BO"/>
              </w:rPr>
              <w:t xml:space="preserve"> de</w:t>
            </w:r>
            <w:r w:rsidR="00075BA9" w:rsidRPr="004F6D00">
              <w:rPr>
                <w:rFonts w:asciiTheme="majorHAnsi" w:hAnsiTheme="majorHAnsi" w:cstheme="majorHAnsi"/>
                <w:color w:val="auto"/>
                <w:lang w:val="es-BO"/>
              </w:rPr>
              <w:t xml:space="preserve"> Políticas Sociales</w:t>
            </w:r>
            <w:r w:rsidR="00075BA9" w:rsidRPr="004F6D00">
              <w:rPr>
                <w:color w:val="auto"/>
              </w:rPr>
              <w:t xml:space="preserve"> </w:t>
            </w:r>
          </w:p>
        </w:tc>
        <w:tc>
          <w:tcPr>
            <w:tcW w:w="5474" w:type="dxa"/>
            <w:gridSpan w:val="4"/>
          </w:tcPr>
          <w:p w14:paraId="3863396A" w14:textId="39DF8B51" w:rsidR="00EF5BAD" w:rsidRPr="00103826" w:rsidRDefault="00F8369E" w:rsidP="00103826">
            <w:pPr>
              <w:spacing w:before="60" w:after="60" w:line="240" w:lineRule="auto"/>
              <w:rPr>
                <w:rFonts w:asciiTheme="majorHAnsi" w:eastAsia="Arial Unicode MS" w:hAnsiTheme="majorHAnsi" w:cstheme="majorHAnsi"/>
                <w:bCs/>
                <w:color w:val="auto"/>
                <w:lang w:val="es-419"/>
              </w:rPr>
            </w:pPr>
            <w:r w:rsidRPr="00931ABC">
              <w:rPr>
                <w:rFonts w:asciiTheme="majorHAnsi" w:eastAsia="Arial Unicode MS" w:hAnsiTheme="majorHAnsi" w:cstheme="majorHAnsi"/>
                <w:b/>
                <w:color w:val="auto"/>
                <w:lang w:val="es-419"/>
              </w:rPr>
              <w:t>VIGENCIA DE LA CONSULTORÍA:</w:t>
            </w:r>
            <w:r w:rsidR="00103826">
              <w:rPr>
                <w:rFonts w:asciiTheme="majorHAnsi" w:eastAsia="Arial Unicode MS" w:hAnsiTheme="majorHAnsi" w:cstheme="majorHAnsi"/>
                <w:b/>
                <w:color w:val="auto"/>
                <w:lang w:val="es-419"/>
              </w:rPr>
              <w:t xml:space="preserve"> </w:t>
            </w:r>
            <w:r w:rsidR="002522B2" w:rsidRPr="002522B2">
              <w:rPr>
                <w:rFonts w:asciiTheme="majorHAnsi" w:eastAsia="Arial Unicode MS" w:hAnsiTheme="majorHAnsi" w:cstheme="majorHAnsi"/>
                <w:bCs/>
                <w:color w:val="auto"/>
                <w:lang w:val="es-419"/>
              </w:rPr>
              <w:t>200</w:t>
            </w:r>
            <w:r w:rsidR="00075BA9" w:rsidRPr="00075BA9">
              <w:rPr>
                <w:rFonts w:asciiTheme="majorHAnsi" w:eastAsia="Arial Unicode MS" w:hAnsiTheme="majorHAnsi" w:cstheme="majorHAnsi"/>
                <w:bCs/>
                <w:color w:val="auto"/>
                <w:lang w:val="es-419"/>
              </w:rPr>
              <w:t xml:space="preserve"> días calendario </w:t>
            </w:r>
          </w:p>
        </w:tc>
      </w:tr>
      <w:tr w:rsidR="003F2C5E" w:rsidRPr="00931ABC" w14:paraId="35EC9E52" w14:textId="77777777" w:rsidTr="00103826">
        <w:trPr>
          <w:gridAfter w:val="1"/>
          <w:wAfter w:w="6" w:type="dxa"/>
          <w:cantSplit/>
        </w:trPr>
        <w:tc>
          <w:tcPr>
            <w:tcW w:w="622" w:type="dxa"/>
            <w:shd w:val="clear" w:color="auto" w:fill="FFFFFF" w:themeFill="background1"/>
            <w:vAlign w:val="center"/>
          </w:tcPr>
          <w:p w14:paraId="2650064D" w14:textId="0FF229AD" w:rsidR="003F2C5E" w:rsidRPr="003F2C5E" w:rsidRDefault="003F2C5E" w:rsidP="00292E6C">
            <w:pPr>
              <w:jc w:val="center"/>
              <w:rPr>
                <w:rFonts w:asciiTheme="majorHAnsi" w:eastAsia="Arial Unicode MS" w:hAnsiTheme="majorHAnsi" w:cstheme="majorHAnsi"/>
                <w:b/>
                <w:bCs/>
                <w:color w:val="auto"/>
                <w:lang w:val="es-419"/>
              </w:rPr>
            </w:pPr>
            <w:r w:rsidRPr="003F2C5E">
              <w:rPr>
                <w:rFonts w:asciiTheme="majorHAnsi" w:eastAsia="Arial Unicode MS" w:hAnsiTheme="majorHAnsi" w:cstheme="majorHAnsi"/>
                <w:b/>
                <w:bCs/>
                <w:color w:val="auto"/>
                <w:lang w:val="es-419"/>
              </w:rPr>
              <w:t xml:space="preserve"># </w:t>
            </w:r>
            <w:r w:rsidR="009E3F3B">
              <w:rPr>
                <w:rFonts w:asciiTheme="majorHAnsi" w:eastAsia="Arial Unicode MS" w:hAnsiTheme="majorHAnsi" w:cstheme="majorHAnsi"/>
                <w:b/>
                <w:bCs/>
                <w:color w:val="auto"/>
                <w:lang w:val="es-419"/>
              </w:rPr>
              <w:t>P</w:t>
            </w:r>
            <w:r w:rsidRPr="003F2C5E">
              <w:rPr>
                <w:rFonts w:asciiTheme="majorHAnsi" w:eastAsia="Arial Unicode MS" w:hAnsiTheme="majorHAnsi" w:cstheme="majorHAnsi"/>
                <w:b/>
                <w:bCs/>
                <w:color w:val="auto"/>
                <w:lang w:val="es-419"/>
              </w:rPr>
              <w:t>ago</w:t>
            </w:r>
          </w:p>
        </w:tc>
        <w:tc>
          <w:tcPr>
            <w:tcW w:w="1622" w:type="dxa"/>
            <w:shd w:val="clear" w:color="auto" w:fill="FFFFFF" w:themeFill="background1"/>
            <w:vAlign w:val="center"/>
          </w:tcPr>
          <w:p w14:paraId="560BB4B1" w14:textId="658AFCFC" w:rsidR="003F2C5E" w:rsidRPr="00931ABC" w:rsidRDefault="003F2C5E" w:rsidP="00292E6C">
            <w:pPr>
              <w:jc w:val="center"/>
              <w:rPr>
                <w:rFonts w:asciiTheme="majorHAnsi" w:eastAsia="Arial Unicode MS" w:hAnsiTheme="majorHAnsi" w:cstheme="majorHAnsi"/>
                <w:b/>
                <w:color w:val="auto"/>
                <w:lang w:val="es-419"/>
              </w:rPr>
            </w:pPr>
            <w:r>
              <w:rPr>
                <w:rFonts w:asciiTheme="majorHAnsi" w:eastAsia="Arial Unicode MS" w:hAnsiTheme="majorHAnsi" w:cstheme="majorHAnsi"/>
                <w:b/>
                <w:color w:val="auto"/>
                <w:lang w:val="es-419"/>
              </w:rPr>
              <w:t>Producto</w:t>
            </w:r>
          </w:p>
        </w:tc>
        <w:tc>
          <w:tcPr>
            <w:tcW w:w="5131" w:type="dxa"/>
            <w:gridSpan w:val="2"/>
            <w:shd w:val="clear" w:color="auto" w:fill="FFFFFF" w:themeFill="background1"/>
            <w:vAlign w:val="center"/>
          </w:tcPr>
          <w:p w14:paraId="670E7DBB" w14:textId="6BA383B8" w:rsidR="003F2C5E" w:rsidRPr="003F2C5E" w:rsidRDefault="003F2C5E" w:rsidP="00292E6C">
            <w:pPr>
              <w:jc w:val="center"/>
              <w:rPr>
                <w:rFonts w:asciiTheme="majorHAnsi" w:eastAsia="Arial Unicode MS" w:hAnsiTheme="majorHAnsi" w:cstheme="majorHAnsi"/>
                <w:b/>
                <w:color w:val="auto"/>
                <w:lang w:val="es-BO"/>
              </w:rPr>
            </w:pPr>
            <w:r w:rsidRPr="00931ABC">
              <w:rPr>
                <w:rFonts w:asciiTheme="majorHAnsi" w:eastAsia="Arial Unicode MS" w:hAnsiTheme="majorHAnsi" w:cstheme="majorHAnsi"/>
                <w:b/>
                <w:color w:val="auto"/>
                <w:lang w:val="es-419"/>
              </w:rPr>
              <w:t>Descripción general de las actividades</w:t>
            </w:r>
          </w:p>
        </w:tc>
        <w:tc>
          <w:tcPr>
            <w:tcW w:w="1778" w:type="dxa"/>
            <w:shd w:val="clear" w:color="auto" w:fill="FFFFFF" w:themeFill="background1"/>
            <w:vAlign w:val="center"/>
          </w:tcPr>
          <w:p w14:paraId="31FA4CE5" w14:textId="600DB0D8" w:rsidR="003F2C5E" w:rsidRPr="00931ABC" w:rsidRDefault="00103826" w:rsidP="00292E6C">
            <w:pPr>
              <w:jc w:val="center"/>
              <w:rPr>
                <w:rFonts w:asciiTheme="majorHAnsi" w:eastAsia="Arial Unicode MS" w:hAnsiTheme="majorHAnsi" w:cstheme="majorHAnsi"/>
                <w:b/>
                <w:color w:val="auto"/>
                <w:lang w:val="es-419"/>
              </w:rPr>
            </w:pPr>
            <w:r>
              <w:rPr>
                <w:rFonts w:asciiTheme="majorHAnsi" w:eastAsia="Arial Unicode MS" w:hAnsiTheme="majorHAnsi" w:cstheme="majorHAnsi"/>
                <w:b/>
                <w:color w:val="auto"/>
                <w:lang w:val="es-419"/>
              </w:rPr>
              <w:t>Plazo</w:t>
            </w:r>
            <w:r w:rsidR="003F2C5E" w:rsidRPr="00931ABC">
              <w:rPr>
                <w:rFonts w:asciiTheme="majorHAnsi" w:eastAsia="Arial Unicode MS" w:hAnsiTheme="majorHAnsi" w:cstheme="majorHAnsi"/>
                <w:b/>
                <w:color w:val="auto"/>
                <w:lang w:val="es-419"/>
              </w:rPr>
              <w:t xml:space="preserve"> de presentación del producto</w:t>
            </w:r>
          </w:p>
        </w:tc>
        <w:tc>
          <w:tcPr>
            <w:tcW w:w="990" w:type="dxa"/>
            <w:shd w:val="clear" w:color="auto" w:fill="FFFFFF" w:themeFill="background1"/>
            <w:vAlign w:val="center"/>
          </w:tcPr>
          <w:p w14:paraId="6A64BE7D" w14:textId="7D492818" w:rsidR="003F2C5E" w:rsidRPr="00931ABC" w:rsidRDefault="00103826" w:rsidP="00103826">
            <w:pPr>
              <w:jc w:val="center"/>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 Pago</w:t>
            </w:r>
          </w:p>
        </w:tc>
      </w:tr>
      <w:tr w:rsidR="003F2C5E" w:rsidRPr="00411615" w14:paraId="16DDEF41" w14:textId="77777777" w:rsidTr="00103826">
        <w:trPr>
          <w:gridAfter w:val="1"/>
          <w:wAfter w:w="6" w:type="dxa"/>
          <w:cantSplit/>
        </w:trPr>
        <w:tc>
          <w:tcPr>
            <w:tcW w:w="622" w:type="dxa"/>
            <w:shd w:val="clear" w:color="auto" w:fill="FFFFFF" w:themeFill="background1"/>
            <w:vAlign w:val="center"/>
          </w:tcPr>
          <w:p w14:paraId="356AF6F5" w14:textId="77777777" w:rsidR="003F2C5E" w:rsidRPr="009E3F3B" w:rsidRDefault="003F2C5E" w:rsidP="009E3F3B">
            <w:pPr>
              <w:spacing w:line="240" w:lineRule="auto"/>
              <w:jc w:val="center"/>
              <w:rPr>
                <w:rFonts w:asciiTheme="majorHAnsi" w:eastAsia="Arial Unicode MS" w:hAnsiTheme="majorHAnsi" w:cstheme="majorHAnsi"/>
                <w:b/>
                <w:color w:val="auto"/>
              </w:rPr>
            </w:pPr>
          </w:p>
          <w:p w14:paraId="46115537" w14:textId="20184231" w:rsidR="003F2C5E" w:rsidRPr="009E3F3B" w:rsidRDefault="00292E6C" w:rsidP="009E3F3B">
            <w:pPr>
              <w:spacing w:line="240" w:lineRule="auto"/>
              <w:jc w:val="center"/>
              <w:rPr>
                <w:rFonts w:asciiTheme="majorHAnsi" w:eastAsia="Arial Unicode MS" w:hAnsiTheme="majorHAnsi" w:cstheme="majorHAnsi"/>
                <w:b/>
                <w:color w:val="auto"/>
              </w:rPr>
            </w:pPr>
            <w:r w:rsidRPr="009E3F3B">
              <w:rPr>
                <w:rFonts w:asciiTheme="majorHAnsi" w:eastAsia="Arial Unicode MS" w:hAnsiTheme="majorHAnsi" w:cstheme="majorHAnsi"/>
                <w:b/>
                <w:color w:val="auto"/>
              </w:rPr>
              <w:t>1</w:t>
            </w:r>
          </w:p>
          <w:p w14:paraId="0CFDFDD9" w14:textId="77777777" w:rsidR="003F2C5E" w:rsidRPr="009E3F3B" w:rsidRDefault="003F2C5E" w:rsidP="009E3F3B">
            <w:pPr>
              <w:spacing w:line="240" w:lineRule="auto"/>
              <w:jc w:val="center"/>
              <w:rPr>
                <w:rFonts w:asciiTheme="majorHAnsi" w:eastAsia="Arial Unicode MS" w:hAnsiTheme="majorHAnsi" w:cstheme="majorHAnsi"/>
                <w:b/>
                <w:color w:val="auto"/>
              </w:rPr>
            </w:pPr>
          </w:p>
        </w:tc>
        <w:tc>
          <w:tcPr>
            <w:tcW w:w="1622" w:type="dxa"/>
            <w:shd w:val="clear" w:color="auto" w:fill="FFFFFF" w:themeFill="background1"/>
          </w:tcPr>
          <w:p w14:paraId="0FEA242E" w14:textId="77777777" w:rsidR="003F2C5E" w:rsidRPr="009E3F3B" w:rsidRDefault="003F2C5E" w:rsidP="009E3F3B">
            <w:pPr>
              <w:spacing w:line="240" w:lineRule="auto"/>
              <w:rPr>
                <w:rFonts w:asciiTheme="majorHAnsi" w:eastAsia="Arial Unicode MS" w:hAnsiTheme="majorHAnsi" w:cstheme="majorHAnsi"/>
                <w:b/>
                <w:color w:val="auto"/>
                <w:lang w:val="es-BO"/>
              </w:rPr>
            </w:pPr>
          </w:p>
          <w:p w14:paraId="68AC8618" w14:textId="77777777" w:rsidR="00D57DAC" w:rsidRPr="009E3F3B" w:rsidRDefault="00D57DAC" w:rsidP="009E3F3B">
            <w:pPr>
              <w:spacing w:line="240" w:lineRule="auto"/>
              <w:jc w:val="both"/>
              <w:rPr>
                <w:rFonts w:asciiTheme="majorHAnsi" w:eastAsia="Arial Unicode MS" w:hAnsiTheme="majorHAnsi" w:cstheme="majorHAnsi"/>
                <w:b/>
                <w:color w:val="auto"/>
                <w:lang w:val="es-BO"/>
              </w:rPr>
            </w:pPr>
          </w:p>
          <w:p w14:paraId="3126E372" w14:textId="77777777" w:rsidR="00453B15" w:rsidRPr="009E3F3B" w:rsidRDefault="00453B15" w:rsidP="009E3F3B">
            <w:pPr>
              <w:spacing w:line="240" w:lineRule="auto"/>
              <w:jc w:val="both"/>
              <w:rPr>
                <w:rFonts w:asciiTheme="majorHAnsi" w:eastAsia="Arial Unicode MS" w:hAnsiTheme="majorHAnsi" w:cstheme="majorHAnsi"/>
                <w:b/>
                <w:color w:val="auto"/>
                <w:lang w:val="es-BO"/>
              </w:rPr>
            </w:pPr>
          </w:p>
          <w:p w14:paraId="1F51605A" w14:textId="01FF1074" w:rsidR="003F2C5E" w:rsidRPr="009E3F3B" w:rsidRDefault="00411615" w:rsidP="009E3F3B">
            <w:pPr>
              <w:spacing w:line="240" w:lineRule="auto"/>
              <w:jc w:val="both"/>
              <w:rPr>
                <w:rFonts w:asciiTheme="majorHAnsi" w:eastAsia="Arial Unicode MS" w:hAnsiTheme="majorHAnsi" w:cstheme="majorHAnsi"/>
                <w:b/>
                <w:color w:val="auto"/>
                <w:lang w:val="es-BO"/>
              </w:rPr>
            </w:pPr>
            <w:r w:rsidRPr="009E3F3B">
              <w:rPr>
                <w:rFonts w:asciiTheme="majorHAnsi" w:eastAsia="Arial Unicode MS" w:hAnsiTheme="majorHAnsi" w:cstheme="majorHAnsi"/>
                <w:b/>
                <w:color w:val="auto"/>
                <w:lang w:val="es-BO"/>
              </w:rPr>
              <w:t xml:space="preserve">Producto 1: </w:t>
            </w:r>
            <w:r w:rsidR="00D57DAC" w:rsidRPr="009E3F3B">
              <w:rPr>
                <w:rFonts w:asciiTheme="majorHAnsi" w:eastAsia="Arial Unicode MS" w:hAnsiTheme="majorHAnsi" w:cstheme="majorHAnsi"/>
                <w:bCs/>
                <w:color w:val="auto"/>
                <w:lang w:val="es-BO"/>
              </w:rPr>
              <w:t>Plan de Trabajo</w:t>
            </w:r>
          </w:p>
        </w:tc>
        <w:tc>
          <w:tcPr>
            <w:tcW w:w="5131" w:type="dxa"/>
            <w:gridSpan w:val="2"/>
            <w:shd w:val="clear" w:color="auto" w:fill="FFFFFF" w:themeFill="background1"/>
            <w:vAlign w:val="center"/>
          </w:tcPr>
          <w:p w14:paraId="098AE813" w14:textId="77777777" w:rsidR="003F2C5E" w:rsidRPr="009E3F3B" w:rsidRDefault="00411615" w:rsidP="0043418B">
            <w:pPr>
              <w:spacing w:line="240" w:lineRule="auto"/>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Cs/>
                <w:color w:val="auto"/>
                <w:lang w:val="es-BO"/>
              </w:rPr>
              <w:t xml:space="preserve">Desarrollar un plan de trabajo </w:t>
            </w:r>
            <w:r w:rsidR="00D57DAC" w:rsidRPr="009E3F3B">
              <w:rPr>
                <w:rFonts w:asciiTheme="majorHAnsi" w:eastAsia="Arial Unicode MS" w:hAnsiTheme="majorHAnsi" w:cstheme="majorHAnsi"/>
                <w:bCs/>
                <w:color w:val="auto"/>
                <w:lang w:val="es-BO"/>
              </w:rPr>
              <w:t>detallado que incluya actividades, cronogramas y recursos necesarios.</w:t>
            </w:r>
          </w:p>
          <w:p w14:paraId="76D3C0DF" w14:textId="77777777" w:rsidR="00D57DAC" w:rsidRPr="009E3F3B" w:rsidRDefault="00D57DAC" w:rsidP="0043418B">
            <w:pPr>
              <w:spacing w:line="240" w:lineRule="auto"/>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
                <w:i/>
                <w:iCs/>
                <w:color w:val="auto"/>
                <w:lang w:val="es-BO"/>
              </w:rPr>
              <w:t>Objetivo:</w:t>
            </w:r>
            <w:r w:rsidRPr="009E3F3B">
              <w:rPr>
                <w:rFonts w:asciiTheme="majorHAnsi" w:eastAsia="Arial Unicode MS" w:hAnsiTheme="majorHAnsi" w:cstheme="majorHAnsi"/>
                <w:bCs/>
                <w:color w:val="auto"/>
                <w:lang w:val="es-BO"/>
              </w:rPr>
              <w:t xml:space="preserve"> Establecer una guía clara y estructurada de la ejecución de la Consultoría.</w:t>
            </w:r>
          </w:p>
          <w:p w14:paraId="07002F06" w14:textId="16E36242" w:rsidR="00D57DAC" w:rsidRPr="009E3F3B" w:rsidRDefault="00D57DAC" w:rsidP="0043418B">
            <w:pPr>
              <w:spacing w:line="240" w:lineRule="auto"/>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
                <w:i/>
                <w:iCs/>
                <w:color w:val="auto"/>
                <w:lang w:val="es-BO"/>
              </w:rPr>
              <w:t>Entregable:</w:t>
            </w:r>
            <w:r w:rsidRPr="009E3F3B">
              <w:rPr>
                <w:rFonts w:asciiTheme="majorHAnsi" w:eastAsia="Arial Unicode MS" w:hAnsiTheme="majorHAnsi" w:cstheme="majorHAnsi"/>
                <w:bCs/>
                <w:color w:val="auto"/>
                <w:lang w:val="es-BO"/>
              </w:rPr>
              <w:t xml:space="preserve"> Documento del Plan de Trabajo aprobado por UNICEF.</w:t>
            </w:r>
          </w:p>
        </w:tc>
        <w:tc>
          <w:tcPr>
            <w:tcW w:w="1778" w:type="dxa"/>
            <w:shd w:val="clear" w:color="auto" w:fill="FFFFFF" w:themeFill="background1"/>
            <w:vAlign w:val="center"/>
          </w:tcPr>
          <w:p w14:paraId="2D18ADB5" w14:textId="2C1CE40A" w:rsidR="003F2C5E" w:rsidRPr="009E3F3B" w:rsidRDefault="00C35F8A" w:rsidP="009E3F3B">
            <w:pPr>
              <w:spacing w:line="240" w:lineRule="auto"/>
              <w:jc w:val="center"/>
              <w:rPr>
                <w:rFonts w:asciiTheme="majorHAnsi" w:eastAsia="Arial Unicode MS" w:hAnsiTheme="majorHAnsi" w:cstheme="majorHAnsi"/>
                <w:bCs/>
                <w:color w:val="auto"/>
                <w:lang w:val="es-BO"/>
              </w:rPr>
            </w:pPr>
            <w:r w:rsidRPr="00C35F8A">
              <w:rPr>
                <w:rFonts w:asciiTheme="majorHAnsi" w:eastAsia="Arial Unicode MS" w:hAnsiTheme="majorHAnsi" w:cstheme="majorHAnsi"/>
                <w:bCs/>
                <w:color w:val="auto"/>
                <w:lang w:val="es-BO"/>
              </w:rPr>
              <w:t xml:space="preserve">12 </w:t>
            </w:r>
            <w:r w:rsidR="00411615" w:rsidRPr="00C35F8A">
              <w:rPr>
                <w:rFonts w:asciiTheme="majorHAnsi" w:eastAsia="Arial Unicode MS" w:hAnsiTheme="majorHAnsi" w:cstheme="majorHAnsi"/>
                <w:bCs/>
                <w:color w:val="auto"/>
                <w:lang w:val="es-BO"/>
              </w:rPr>
              <w:t xml:space="preserve">días </w:t>
            </w:r>
            <w:r w:rsidR="00411615" w:rsidRPr="009E3F3B">
              <w:rPr>
                <w:rFonts w:asciiTheme="majorHAnsi" w:eastAsia="Arial Unicode MS" w:hAnsiTheme="majorHAnsi" w:cstheme="majorHAnsi"/>
                <w:bCs/>
                <w:color w:val="auto"/>
                <w:lang w:val="es-BO"/>
              </w:rPr>
              <w:t>después de firmado el contrato</w:t>
            </w:r>
          </w:p>
        </w:tc>
        <w:tc>
          <w:tcPr>
            <w:tcW w:w="990" w:type="dxa"/>
            <w:shd w:val="clear" w:color="auto" w:fill="FFFFFF" w:themeFill="background1"/>
          </w:tcPr>
          <w:p w14:paraId="1BACC2C6" w14:textId="77777777" w:rsidR="003F2C5E" w:rsidRDefault="003F2C5E" w:rsidP="009E3F3B">
            <w:pPr>
              <w:spacing w:line="240" w:lineRule="auto"/>
              <w:jc w:val="center"/>
              <w:rPr>
                <w:rFonts w:asciiTheme="majorHAnsi" w:eastAsia="Arial Unicode MS" w:hAnsiTheme="majorHAnsi" w:cstheme="majorHAnsi"/>
                <w:b/>
                <w:color w:val="auto"/>
                <w:lang w:val="es-BO"/>
              </w:rPr>
            </w:pPr>
          </w:p>
          <w:p w14:paraId="494247E4" w14:textId="77777777" w:rsidR="009E3F3B" w:rsidRDefault="009E3F3B" w:rsidP="009E3F3B">
            <w:pPr>
              <w:spacing w:line="240" w:lineRule="auto"/>
              <w:jc w:val="center"/>
              <w:rPr>
                <w:rFonts w:asciiTheme="majorHAnsi" w:eastAsia="Arial Unicode MS" w:hAnsiTheme="majorHAnsi" w:cstheme="majorHAnsi"/>
                <w:b/>
                <w:color w:val="auto"/>
                <w:lang w:val="es-BO"/>
              </w:rPr>
            </w:pPr>
          </w:p>
          <w:p w14:paraId="26CCB8E5" w14:textId="3866A95D" w:rsidR="009E3F3B" w:rsidRPr="00E55969" w:rsidRDefault="00FE6ED9" w:rsidP="009E3F3B">
            <w:pPr>
              <w:spacing w:line="240" w:lineRule="auto"/>
              <w:jc w:val="center"/>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5%</w:t>
            </w:r>
          </w:p>
        </w:tc>
      </w:tr>
      <w:tr w:rsidR="003F2C5E" w:rsidRPr="00D57DAC" w14:paraId="0119A41D" w14:textId="77777777" w:rsidTr="00103826">
        <w:trPr>
          <w:gridAfter w:val="1"/>
          <w:wAfter w:w="6" w:type="dxa"/>
          <w:cantSplit/>
        </w:trPr>
        <w:tc>
          <w:tcPr>
            <w:tcW w:w="622" w:type="dxa"/>
            <w:shd w:val="clear" w:color="auto" w:fill="FFFFFF" w:themeFill="background1"/>
            <w:vAlign w:val="center"/>
          </w:tcPr>
          <w:p w14:paraId="4E209C03" w14:textId="43555EEC" w:rsidR="003F2C5E" w:rsidRPr="009E3F3B" w:rsidRDefault="00292E6C" w:rsidP="009E3F3B">
            <w:pPr>
              <w:spacing w:line="240" w:lineRule="auto"/>
              <w:jc w:val="center"/>
              <w:rPr>
                <w:rFonts w:asciiTheme="majorHAnsi" w:eastAsia="Arial Unicode MS" w:hAnsiTheme="majorHAnsi" w:cstheme="majorHAnsi"/>
                <w:b/>
                <w:color w:val="auto"/>
              </w:rPr>
            </w:pPr>
            <w:r w:rsidRPr="009E3F3B">
              <w:rPr>
                <w:rFonts w:asciiTheme="majorHAnsi" w:eastAsia="Arial Unicode MS" w:hAnsiTheme="majorHAnsi" w:cstheme="majorHAnsi"/>
                <w:b/>
                <w:color w:val="auto"/>
              </w:rPr>
              <w:t>2</w:t>
            </w:r>
          </w:p>
          <w:p w14:paraId="37589108" w14:textId="77777777" w:rsidR="003F2C5E" w:rsidRPr="009E3F3B" w:rsidRDefault="003F2C5E" w:rsidP="009E3F3B">
            <w:pPr>
              <w:spacing w:line="240" w:lineRule="auto"/>
              <w:jc w:val="center"/>
              <w:rPr>
                <w:rFonts w:asciiTheme="majorHAnsi" w:eastAsia="Arial Unicode MS" w:hAnsiTheme="majorHAnsi" w:cstheme="majorHAnsi"/>
                <w:b/>
                <w:color w:val="auto"/>
              </w:rPr>
            </w:pPr>
          </w:p>
          <w:p w14:paraId="5B303DB8" w14:textId="77777777" w:rsidR="003F2C5E" w:rsidRPr="009E3F3B" w:rsidRDefault="003F2C5E" w:rsidP="009E3F3B">
            <w:pPr>
              <w:spacing w:line="240" w:lineRule="auto"/>
              <w:jc w:val="center"/>
              <w:rPr>
                <w:rFonts w:asciiTheme="majorHAnsi" w:eastAsia="Arial Unicode MS" w:hAnsiTheme="majorHAnsi" w:cstheme="majorHAnsi"/>
                <w:b/>
                <w:color w:val="auto"/>
              </w:rPr>
            </w:pPr>
          </w:p>
        </w:tc>
        <w:tc>
          <w:tcPr>
            <w:tcW w:w="1622" w:type="dxa"/>
            <w:shd w:val="clear" w:color="auto" w:fill="FFFFFF" w:themeFill="background1"/>
            <w:vAlign w:val="center"/>
          </w:tcPr>
          <w:p w14:paraId="2060E550" w14:textId="77777777" w:rsidR="00D57DAC" w:rsidRPr="009E3F3B" w:rsidRDefault="00D57DAC" w:rsidP="009E3F3B">
            <w:pPr>
              <w:spacing w:line="240" w:lineRule="auto"/>
              <w:rPr>
                <w:rFonts w:asciiTheme="majorHAnsi" w:eastAsia="Arial Unicode MS" w:hAnsiTheme="majorHAnsi" w:cstheme="majorHAnsi"/>
                <w:b/>
                <w:color w:val="auto"/>
                <w:lang w:val="es-BO"/>
              </w:rPr>
            </w:pPr>
          </w:p>
          <w:p w14:paraId="3C52C5DC" w14:textId="462CE319" w:rsidR="003F2C5E" w:rsidRPr="009E3F3B" w:rsidRDefault="00D57DAC" w:rsidP="00DD3D47">
            <w:pPr>
              <w:spacing w:line="240" w:lineRule="auto"/>
              <w:rPr>
                <w:rFonts w:asciiTheme="majorHAnsi" w:eastAsia="Arial Unicode MS" w:hAnsiTheme="majorHAnsi" w:cstheme="majorHAnsi"/>
                <w:b/>
                <w:color w:val="auto"/>
                <w:lang w:val="es-BO"/>
              </w:rPr>
            </w:pPr>
            <w:r w:rsidRPr="009E3F3B">
              <w:rPr>
                <w:rFonts w:asciiTheme="majorHAnsi" w:eastAsia="Arial Unicode MS" w:hAnsiTheme="majorHAnsi" w:cstheme="majorHAnsi"/>
                <w:b/>
                <w:color w:val="auto"/>
                <w:lang w:val="es-BO"/>
              </w:rPr>
              <w:t xml:space="preserve">Producto </w:t>
            </w:r>
            <w:r w:rsidR="00F12E35" w:rsidRPr="009E3F3B">
              <w:rPr>
                <w:rFonts w:asciiTheme="majorHAnsi" w:eastAsia="Arial Unicode MS" w:hAnsiTheme="majorHAnsi" w:cstheme="majorHAnsi"/>
                <w:b/>
                <w:color w:val="auto"/>
                <w:lang w:val="es-BO"/>
              </w:rPr>
              <w:t>2</w:t>
            </w:r>
            <w:r w:rsidRPr="009E3F3B">
              <w:rPr>
                <w:rFonts w:asciiTheme="majorHAnsi" w:eastAsia="Arial Unicode MS" w:hAnsiTheme="majorHAnsi" w:cstheme="majorHAnsi"/>
                <w:b/>
                <w:color w:val="auto"/>
                <w:lang w:val="es-BO"/>
              </w:rPr>
              <w:t xml:space="preserve">: </w:t>
            </w:r>
            <w:r w:rsidR="00DD3D47" w:rsidRPr="00DD3D47">
              <w:rPr>
                <w:rFonts w:asciiTheme="majorHAnsi" w:eastAsia="Arial Unicode MS" w:hAnsiTheme="majorHAnsi" w:cstheme="majorHAnsi"/>
                <w:bCs/>
                <w:color w:val="auto"/>
                <w:lang w:val="es-BO"/>
              </w:rPr>
              <w:t xml:space="preserve">Elaboración de Guía </w:t>
            </w:r>
            <w:r w:rsidR="00DD3D47">
              <w:rPr>
                <w:rFonts w:asciiTheme="majorHAnsi" w:eastAsia="Arial Unicode MS" w:hAnsiTheme="majorHAnsi" w:cstheme="majorHAnsi"/>
                <w:bCs/>
                <w:color w:val="auto"/>
                <w:lang w:val="es-BO"/>
              </w:rPr>
              <w:t>para</w:t>
            </w:r>
            <w:r w:rsidR="00DD3D47" w:rsidRPr="00DD3D47">
              <w:rPr>
                <w:rFonts w:asciiTheme="majorHAnsi" w:eastAsia="Arial Unicode MS" w:hAnsiTheme="majorHAnsi" w:cstheme="majorHAnsi"/>
                <w:bCs/>
                <w:color w:val="auto"/>
                <w:lang w:val="es-BO"/>
              </w:rPr>
              <w:t xml:space="preserve"> </w:t>
            </w:r>
            <w:r w:rsidR="00DD3D47">
              <w:rPr>
                <w:rFonts w:asciiTheme="majorHAnsi" w:eastAsia="Arial Unicode MS" w:hAnsiTheme="majorHAnsi" w:cstheme="majorHAnsi"/>
                <w:bCs/>
                <w:color w:val="auto"/>
                <w:lang w:val="es-BO"/>
              </w:rPr>
              <w:t xml:space="preserve">la </w:t>
            </w:r>
            <w:r w:rsidR="00DD3D47" w:rsidRPr="00DD3D47">
              <w:rPr>
                <w:rFonts w:asciiTheme="majorHAnsi" w:eastAsia="Arial Unicode MS" w:hAnsiTheme="majorHAnsi" w:cstheme="majorHAnsi"/>
                <w:bCs/>
                <w:color w:val="auto"/>
                <w:lang w:val="es-BO"/>
              </w:rPr>
              <w:t>inclusión de DSSDR y VSG en la planificación</w:t>
            </w:r>
            <w:r w:rsidR="00F342AD">
              <w:rPr>
                <w:rFonts w:asciiTheme="majorHAnsi" w:eastAsia="Arial Unicode MS" w:hAnsiTheme="majorHAnsi" w:cstheme="majorHAnsi"/>
                <w:bCs/>
                <w:color w:val="auto"/>
                <w:lang w:val="es-BO"/>
              </w:rPr>
              <w:t xml:space="preserve"> (POA)</w:t>
            </w:r>
            <w:r w:rsidR="00DD3D47" w:rsidRPr="00DD3D47">
              <w:rPr>
                <w:rFonts w:asciiTheme="majorHAnsi" w:eastAsia="Arial Unicode MS" w:hAnsiTheme="majorHAnsi" w:cstheme="majorHAnsi"/>
                <w:bCs/>
                <w:color w:val="auto"/>
                <w:lang w:val="es-BO"/>
              </w:rPr>
              <w:t xml:space="preserve"> y presupuestación municipal</w:t>
            </w:r>
          </w:p>
        </w:tc>
        <w:tc>
          <w:tcPr>
            <w:tcW w:w="5131" w:type="dxa"/>
            <w:gridSpan w:val="2"/>
            <w:shd w:val="clear" w:color="auto" w:fill="FFFFFF" w:themeFill="background1"/>
          </w:tcPr>
          <w:p w14:paraId="50FF136F" w14:textId="3D36BBA5" w:rsidR="00DD3D47" w:rsidRDefault="00DD3D47" w:rsidP="00E36C42">
            <w:pPr>
              <w:pStyle w:val="ListParagraph"/>
              <w:numPr>
                <w:ilvl w:val="0"/>
                <w:numId w:val="39"/>
              </w:numPr>
              <w:spacing w:line="240" w:lineRule="auto"/>
              <w:ind w:left="179" w:hanging="179"/>
              <w:jc w:val="both"/>
              <w:rPr>
                <w:rFonts w:asciiTheme="majorHAnsi" w:eastAsia="Arial Unicode MS" w:hAnsiTheme="majorHAnsi" w:cstheme="majorHAnsi"/>
                <w:bCs/>
                <w:color w:val="auto"/>
                <w:lang w:val="es-BO"/>
              </w:rPr>
            </w:pPr>
            <w:r w:rsidRPr="00DD3D47">
              <w:rPr>
                <w:rFonts w:asciiTheme="majorHAnsi" w:eastAsia="Arial Unicode MS" w:hAnsiTheme="majorHAnsi" w:cstheme="majorHAnsi"/>
                <w:bCs/>
                <w:color w:val="auto"/>
                <w:lang w:val="es-BO"/>
              </w:rPr>
              <w:t>Revisión de la normativa, documentos existentes, metodologías y herramientas de las agencias involucradas, referidas a los DSSDR y VSG</w:t>
            </w:r>
            <w:r w:rsidR="006E20B5">
              <w:rPr>
                <w:rFonts w:asciiTheme="majorHAnsi" w:eastAsia="Arial Unicode MS" w:hAnsiTheme="majorHAnsi" w:cstheme="majorHAnsi"/>
                <w:bCs/>
                <w:color w:val="auto"/>
                <w:lang w:val="es-BO"/>
              </w:rPr>
              <w:t>.</w:t>
            </w:r>
          </w:p>
          <w:p w14:paraId="635D652C" w14:textId="65F065DE" w:rsidR="00DD3D47" w:rsidRDefault="00DD3D47" w:rsidP="00E36C42">
            <w:pPr>
              <w:pStyle w:val="ListParagraph"/>
              <w:numPr>
                <w:ilvl w:val="0"/>
                <w:numId w:val="39"/>
              </w:numPr>
              <w:spacing w:line="240" w:lineRule="auto"/>
              <w:ind w:left="179" w:hanging="179"/>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Elaboración de la guía: redactar una guía detallada que incluya</w:t>
            </w:r>
            <w:r w:rsidR="00EF292B">
              <w:rPr>
                <w:rFonts w:asciiTheme="majorHAnsi" w:eastAsia="Arial Unicode MS" w:hAnsiTheme="majorHAnsi" w:cstheme="majorHAnsi"/>
                <w:bCs/>
                <w:color w:val="auto"/>
                <w:lang w:val="es-BO"/>
              </w:rPr>
              <w:t xml:space="preserve"> los</w:t>
            </w:r>
            <w:r>
              <w:rPr>
                <w:rFonts w:asciiTheme="majorHAnsi" w:eastAsia="Arial Unicode MS" w:hAnsiTheme="majorHAnsi" w:cstheme="majorHAnsi"/>
                <w:bCs/>
                <w:color w:val="auto"/>
                <w:lang w:val="es-BO"/>
              </w:rPr>
              <w:t xml:space="preserve"> pasos, recomendaciones y estudios de caso, para el personal municipal sobre la inclusión de DSSDR y VSG en la planificación y presupuestación.</w:t>
            </w:r>
            <w:r w:rsidRPr="00DD3D47">
              <w:rPr>
                <w:rFonts w:asciiTheme="majorHAnsi" w:eastAsia="Arial Unicode MS" w:hAnsiTheme="majorHAnsi" w:cstheme="majorHAnsi"/>
                <w:bCs/>
                <w:color w:val="auto"/>
                <w:lang w:val="es-BO"/>
              </w:rPr>
              <w:t xml:space="preserve"> </w:t>
            </w:r>
          </w:p>
          <w:p w14:paraId="3A5A9A10" w14:textId="03545C50" w:rsidR="0023178D" w:rsidRPr="00DD3D47" w:rsidRDefault="00D57DAC" w:rsidP="00DD3D47">
            <w:pPr>
              <w:spacing w:line="240" w:lineRule="auto"/>
              <w:jc w:val="both"/>
              <w:rPr>
                <w:rFonts w:asciiTheme="majorHAnsi" w:eastAsia="Arial Unicode MS" w:hAnsiTheme="majorHAnsi" w:cstheme="majorHAnsi"/>
                <w:bCs/>
                <w:color w:val="auto"/>
                <w:lang w:val="es-BO"/>
              </w:rPr>
            </w:pPr>
            <w:r w:rsidRPr="00DD3D47">
              <w:rPr>
                <w:rFonts w:asciiTheme="majorHAnsi" w:eastAsia="Arial Unicode MS" w:hAnsiTheme="majorHAnsi" w:cstheme="majorHAnsi"/>
                <w:b/>
                <w:i/>
                <w:iCs/>
                <w:color w:val="auto"/>
                <w:lang w:val="es-BO"/>
              </w:rPr>
              <w:t>Objetivo:</w:t>
            </w:r>
            <w:r w:rsidRPr="00DD3D47">
              <w:rPr>
                <w:rFonts w:asciiTheme="majorHAnsi" w:eastAsia="Arial Unicode MS" w:hAnsiTheme="majorHAnsi" w:cstheme="majorHAnsi"/>
                <w:bCs/>
                <w:color w:val="auto"/>
                <w:lang w:val="es-BO"/>
              </w:rPr>
              <w:t xml:space="preserve"> </w:t>
            </w:r>
            <w:r w:rsidR="00DD3D47" w:rsidRPr="00DD3D47">
              <w:rPr>
                <w:rFonts w:asciiTheme="majorHAnsi" w:eastAsia="Arial Unicode MS" w:hAnsiTheme="majorHAnsi" w:cstheme="majorHAnsi"/>
                <w:bCs/>
                <w:color w:val="auto"/>
                <w:lang w:val="es-BO"/>
              </w:rPr>
              <w:t xml:space="preserve">Elaborar una guía para la incorporación de acciones y presupuesto sobre la salud y los derechos sexuales y reproductivos (DSSDR) y una vida libre de la Violencia Sexual y de Género (VSG) en el POA </w:t>
            </w:r>
            <w:r w:rsidR="00DD3D47">
              <w:rPr>
                <w:rFonts w:asciiTheme="majorHAnsi" w:eastAsia="Arial Unicode MS" w:hAnsiTheme="majorHAnsi" w:cstheme="majorHAnsi"/>
                <w:bCs/>
                <w:color w:val="auto"/>
                <w:lang w:val="es-BO"/>
              </w:rPr>
              <w:t>2026 de los GAM de El Alto, Trinidad y Cobija.</w:t>
            </w:r>
          </w:p>
          <w:p w14:paraId="64BCA305" w14:textId="1B25394C" w:rsidR="0023178D" w:rsidRPr="009E3F3B" w:rsidRDefault="00D57DAC" w:rsidP="00F342AD">
            <w:pPr>
              <w:spacing w:line="240" w:lineRule="auto"/>
              <w:jc w:val="both"/>
              <w:rPr>
                <w:rFonts w:asciiTheme="majorHAnsi" w:eastAsia="Arial Unicode MS" w:hAnsiTheme="majorHAnsi" w:cstheme="majorHAnsi"/>
                <w:b/>
                <w:color w:val="auto"/>
                <w:lang w:val="es-BO"/>
              </w:rPr>
            </w:pPr>
            <w:r w:rsidRPr="009E3F3B">
              <w:rPr>
                <w:rFonts w:asciiTheme="majorHAnsi" w:eastAsia="Arial Unicode MS" w:hAnsiTheme="majorHAnsi" w:cstheme="majorHAnsi"/>
                <w:b/>
                <w:i/>
                <w:iCs/>
                <w:color w:val="auto"/>
                <w:lang w:val="es-BO"/>
              </w:rPr>
              <w:t>Entregable</w:t>
            </w:r>
            <w:r w:rsidR="00D5765E">
              <w:rPr>
                <w:rFonts w:asciiTheme="majorHAnsi" w:eastAsia="Arial Unicode MS" w:hAnsiTheme="majorHAnsi" w:cstheme="majorHAnsi"/>
                <w:b/>
                <w:i/>
                <w:iCs/>
                <w:color w:val="auto"/>
                <w:lang w:val="es-BO"/>
              </w:rPr>
              <w:t>s</w:t>
            </w:r>
            <w:r w:rsidRPr="009E3F3B">
              <w:rPr>
                <w:rFonts w:asciiTheme="majorHAnsi" w:eastAsia="Arial Unicode MS" w:hAnsiTheme="majorHAnsi" w:cstheme="majorHAnsi"/>
                <w:b/>
                <w:i/>
                <w:iCs/>
                <w:color w:val="auto"/>
                <w:lang w:val="es-BO"/>
              </w:rPr>
              <w:t>:</w:t>
            </w:r>
            <w:r w:rsidRPr="009E3F3B">
              <w:rPr>
                <w:rFonts w:asciiTheme="majorHAnsi" w:eastAsia="Arial Unicode MS" w:hAnsiTheme="majorHAnsi" w:cstheme="majorHAnsi"/>
                <w:bCs/>
                <w:color w:val="auto"/>
                <w:lang w:val="es-BO"/>
              </w:rPr>
              <w:t xml:space="preserve"> </w:t>
            </w:r>
            <w:r w:rsidR="00F342AD" w:rsidRPr="00F342AD">
              <w:rPr>
                <w:rFonts w:asciiTheme="majorHAnsi" w:eastAsia="Arial Unicode MS" w:hAnsiTheme="majorHAnsi" w:cstheme="majorHAnsi"/>
                <w:bCs/>
                <w:color w:val="auto"/>
                <w:lang w:val="es-BO"/>
              </w:rPr>
              <w:t xml:space="preserve">Guía para la inclusión de DSSDR y VSG en la planificación (POA) y presupuestación municipal </w:t>
            </w:r>
            <w:r w:rsidR="00F342AD">
              <w:rPr>
                <w:rFonts w:asciiTheme="majorHAnsi" w:eastAsia="Arial Unicode MS" w:hAnsiTheme="majorHAnsi" w:cstheme="majorHAnsi"/>
                <w:bCs/>
                <w:color w:val="auto"/>
                <w:lang w:val="es-BO"/>
              </w:rPr>
              <w:t>y Anexos q</w:t>
            </w:r>
            <w:r w:rsidR="00F12E35" w:rsidRPr="009E3F3B">
              <w:rPr>
                <w:rFonts w:asciiTheme="majorHAnsi" w:eastAsia="Arial Unicode MS" w:hAnsiTheme="majorHAnsi" w:cstheme="majorHAnsi"/>
                <w:bCs/>
                <w:color w:val="auto"/>
                <w:lang w:val="es-BO"/>
              </w:rPr>
              <w:t>ue contenga</w:t>
            </w:r>
            <w:r w:rsidR="006857FA">
              <w:rPr>
                <w:rFonts w:asciiTheme="majorHAnsi" w:eastAsia="Arial Unicode MS" w:hAnsiTheme="majorHAnsi" w:cstheme="majorHAnsi"/>
                <w:bCs/>
                <w:color w:val="auto"/>
                <w:lang w:val="es-BO"/>
              </w:rPr>
              <w:t xml:space="preserve">: </w:t>
            </w:r>
            <w:r w:rsidR="0023178D" w:rsidRPr="0023178D">
              <w:rPr>
                <w:rFonts w:asciiTheme="majorHAnsi" w:eastAsia="Arial Unicode MS" w:hAnsiTheme="majorHAnsi" w:cstheme="majorHAnsi"/>
                <w:bCs/>
                <w:color w:val="auto"/>
                <w:lang w:val="es-BO"/>
              </w:rPr>
              <w:t>revisión documental</w:t>
            </w:r>
            <w:r w:rsidR="006857FA">
              <w:rPr>
                <w:rFonts w:asciiTheme="majorHAnsi" w:eastAsia="Arial Unicode MS" w:hAnsiTheme="majorHAnsi" w:cstheme="majorHAnsi"/>
                <w:bCs/>
                <w:color w:val="auto"/>
                <w:lang w:val="es-BO"/>
              </w:rPr>
              <w:t xml:space="preserve"> (</w:t>
            </w:r>
            <w:r w:rsidR="0023178D" w:rsidRPr="0023178D">
              <w:rPr>
                <w:rFonts w:asciiTheme="majorHAnsi" w:eastAsia="Arial Unicode MS" w:hAnsiTheme="majorHAnsi" w:cstheme="majorHAnsi"/>
                <w:bCs/>
                <w:color w:val="auto"/>
                <w:lang w:val="es-BO"/>
              </w:rPr>
              <w:t xml:space="preserve">análisis de las guías y metodologías actuales, identificando </w:t>
            </w:r>
            <w:r w:rsidR="006857FA">
              <w:rPr>
                <w:rFonts w:asciiTheme="majorHAnsi" w:eastAsia="Arial Unicode MS" w:hAnsiTheme="majorHAnsi" w:cstheme="majorHAnsi"/>
                <w:bCs/>
                <w:color w:val="auto"/>
                <w:lang w:val="es-BO"/>
              </w:rPr>
              <w:t xml:space="preserve">las mejores prácticas a adoptarse) y la </w:t>
            </w:r>
            <w:r w:rsidR="006857FA" w:rsidRPr="0023178D">
              <w:rPr>
                <w:rFonts w:asciiTheme="majorHAnsi" w:eastAsia="Arial Unicode MS" w:hAnsiTheme="majorHAnsi" w:cstheme="majorHAnsi"/>
                <w:bCs/>
                <w:color w:val="auto"/>
                <w:lang w:val="es-BO"/>
              </w:rPr>
              <w:t>eval</w:t>
            </w:r>
            <w:r w:rsidR="006857FA">
              <w:rPr>
                <w:rFonts w:asciiTheme="majorHAnsi" w:eastAsia="Arial Unicode MS" w:hAnsiTheme="majorHAnsi" w:cstheme="majorHAnsi"/>
                <w:bCs/>
                <w:color w:val="auto"/>
                <w:lang w:val="es-BO"/>
              </w:rPr>
              <w:t>uación d</w:t>
            </w:r>
            <w:r w:rsidR="0023178D" w:rsidRPr="0023178D">
              <w:rPr>
                <w:rFonts w:asciiTheme="majorHAnsi" w:eastAsia="Arial Unicode MS" w:hAnsiTheme="majorHAnsi" w:cstheme="majorHAnsi"/>
                <w:bCs/>
                <w:color w:val="auto"/>
                <w:lang w:val="es-BO"/>
              </w:rPr>
              <w:t xml:space="preserve">e las herramientas actuales utilizadas por cada agencia, destacando su </w:t>
            </w:r>
            <w:r w:rsidR="0023178D" w:rsidRPr="00F342AD">
              <w:rPr>
                <w:rFonts w:asciiTheme="majorHAnsi" w:eastAsia="Arial Unicode MS" w:hAnsiTheme="majorHAnsi" w:cstheme="majorHAnsi"/>
                <w:bCs/>
                <w:color w:val="auto"/>
                <w:lang w:val="es-BO"/>
              </w:rPr>
              <w:t>efectividad.</w:t>
            </w:r>
          </w:p>
        </w:tc>
        <w:tc>
          <w:tcPr>
            <w:tcW w:w="1778" w:type="dxa"/>
            <w:shd w:val="clear" w:color="auto" w:fill="FFFFFF" w:themeFill="background1"/>
          </w:tcPr>
          <w:p w14:paraId="193772B8" w14:textId="77777777" w:rsidR="003F2C5E" w:rsidRPr="009E3F3B" w:rsidRDefault="003F2C5E" w:rsidP="009E3F3B">
            <w:pPr>
              <w:spacing w:line="240" w:lineRule="auto"/>
              <w:jc w:val="both"/>
              <w:rPr>
                <w:rFonts w:asciiTheme="majorHAnsi" w:eastAsia="Arial Unicode MS" w:hAnsiTheme="majorHAnsi" w:cstheme="majorHAnsi"/>
                <w:b/>
                <w:color w:val="auto"/>
                <w:lang w:val="es-BO"/>
              </w:rPr>
            </w:pPr>
          </w:p>
          <w:p w14:paraId="3FFBA6FE" w14:textId="77777777" w:rsidR="00F12E35" w:rsidRPr="009E3F3B" w:rsidRDefault="00F12E35" w:rsidP="009E3F3B">
            <w:pPr>
              <w:spacing w:line="240" w:lineRule="auto"/>
              <w:jc w:val="both"/>
              <w:rPr>
                <w:rFonts w:asciiTheme="majorHAnsi" w:eastAsia="Arial Unicode MS" w:hAnsiTheme="majorHAnsi" w:cstheme="majorHAnsi"/>
                <w:b/>
                <w:color w:val="auto"/>
                <w:lang w:val="es-BO"/>
              </w:rPr>
            </w:pPr>
          </w:p>
          <w:p w14:paraId="6DCCCFCC" w14:textId="77777777" w:rsidR="00EF292B" w:rsidRPr="009E3F3B" w:rsidRDefault="00EF292B" w:rsidP="009E3F3B">
            <w:pPr>
              <w:spacing w:line="240" w:lineRule="auto"/>
              <w:jc w:val="both"/>
              <w:rPr>
                <w:rFonts w:asciiTheme="majorHAnsi" w:eastAsia="Arial Unicode MS" w:hAnsiTheme="majorHAnsi" w:cstheme="majorHAnsi"/>
                <w:b/>
                <w:color w:val="auto"/>
                <w:lang w:val="es-BO"/>
              </w:rPr>
            </w:pPr>
          </w:p>
          <w:p w14:paraId="1DD358AD" w14:textId="77777777" w:rsidR="00F12E35" w:rsidRPr="009E3F3B" w:rsidRDefault="00F12E35" w:rsidP="009E3F3B">
            <w:pPr>
              <w:spacing w:line="240" w:lineRule="auto"/>
              <w:jc w:val="both"/>
              <w:rPr>
                <w:rFonts w:asciiTheme="majorHAnsi" w:eastAsia="Arial Unicode MS" w:hAnsiTheme="majorHAnsi" w:cstheme="majorHAnsi"/>
                <w:b/>
                <w:color w:val="auto"/>
                <w:lang w:val="es-BO"/>
              </w:rPr>
            </w:pPr>
          </w:p>
          <w:p w14:paraId="33C6D53A" w14:textId="48C54850" w:rsidR="00F12E35" w:rsidRPr="009E3F3B" w:rsidRDefault="00C35F8A" w:rsidP="009E3F3B">
            <w:pPr>
              <w:spacing w:line="240" w:lineRule="auto"/>
              <w:jc w:val="both"/>
              <w:rPr>
                <w:rFonts w:asciiTheme="majorHAnsi" w:eastAsia="Arial Unicode MS" w:hAnsiTheme="majorHAnsi" w:cstheme="majorHAnsi"/>
                <w:b/>
                <w:color w:val="auto"/>
                <w:lang w:val="es-BO"/>
              </w:rPr>
            </w:pPr>
            <w:r>
              <w:rPr>
                <w:rFonts w:asciiTheme="majorHAnsi" w:eastAsia="Arial Unicode MS" w:hAnsiTheme="majorHAnsi" w:cstheme="majorHAnsi"/>
                <w:bCs/>
                <w:color w:val="auto"/>
                <w:lang w:val="es-BO"/>
              </w:rPr>
              <w:t xml:space="preserve">73 </w:t>
            </w:r>
            <w:r w:rsidR="00F12E35" w:rsidRPr="009E3F3B">
              <w:rPr>
                <w:rFonts w:asciiTheme="majorHAnsi" w:eastAsia="Arial Unicode MS" w:hAnsiTheme="majorHAnsi" w:cstheme="majorHAnsi"/>
                <w:bCs/>
                <w:color w:val="auto"/>
                <w:lang w:val="es-BO"/>
              </w:rPr>
              <w:t>días después de firmado el contrato</w:t>
            </w:r>
          </w:p>
        </w:tc>
        <w:tc>
          <w:tcPr>
            <w:tcW w:w="990" w:type="dxa"/>
            <w:shd w:val="clear" w:color="auto" w:fill="FFFFFF" w:themeFill="background1"/>
            <w:vAlign w:val="center"/>
          </w:tcPr>
          <w:p w14:paraId="6DEEE6D0" w14:textId="15C2D9EE" w:rsidR="003F2C5E" w:rsidRPr="00E55969" w:rsidRDefault="00FE6ED9" w:rsidP="009E3F3B">
            <w:pPr>
              <w:spacing w:line="240" w:lineRule="auto"/>
              <w:jc w:val="center"/>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24%</w:t>
            </w:r>
          </w:p>
        </w:tc>
      </w:tr>
      <w:tr w:rsidR="009D2001" w:rsidRPr="00D57DAC" w14:paraId="0970C5C9" w14:textId="77777777" w:rsidTr="00103826">
        <w:trPr>
          <w:gridAfter w:val="1"/>
          <w:wAfter w:w="6" w:type="dxa"/>
          <w:cantSplit/>
        </w:trPr>
        <w:tc>
          <w:tcPr>
            <w:tcW w:w="622" w:type="dxa"/>
            <w:shd w:val="clear" w:color="auto" w:fill="FFFFFF" w:themeFill="background1"/>
            <w:vAlign w:val="center"/>
          </w:tcPr>
          <w:p w14:paraId="4D4BA362" w14:textId="59754D68" w:rsidR="009D2001" w:rsidRPr="009E3F3B" w:rsidRDefault="009D2001" w:rsidP="009D2001">
            <w:pPr>
              <w:spacing w:line="240" w:lineRule="auto"/>
              <w:jc w:val="center"/>
              <w:rPr>
                <w:rFonts w:asciiTheme="majorHAnsi" w:eastAsia="Arial Unicode MS" w:hAnsiTheme="majorHAnsi" w:cstheme="majorHAnsi"/>
                <w:b/>
                <w:color w:val="auto"/>
              </w:rPr>
            </w:pPr>
            <w:r>
              <w:rPr>
                <w:rFonts w:asciiTheme="majorHAnsi" w:eastAsia="Arial Unicode MS" w:hAnsiTheme="majorHAnsi" w:cstheme="majorHAnsi"/>
                <w:b/>
                <w:color w:val="auto"/>
                <w:lang w:val="es-BO"/>
              </w:rPr>
              <w:t>3</w:t>
            </w:r>
          </w:p>
        </w:tc>
        <w:tc>
          <w:tcPr>
            <w:tcW w:w="1622" w:type="dxa"/>
            <w:shd w:val="clear" w:color="auto" w:fill="FFFFFF" w:themeFill="background1"/>
            <w:vAlign w:val="center"/>
          </w:tcPr>
          <w:p w14:paraId="69C7C5AF" w14:textId="4641469E" w:rsidR="009D2001" w:rsidRPr="009E3F3B" w:rsidRDefault="009D2001" w:rsidP="009D2001">
            <w:pPr>
              <w:spacing w:line="240" w:lineRule="auto"/>
              <w:rPr>
                <w:rFonts w:asciiTheme="majorHAnsi" w:eastAsia="Arial Unicode MS" w:hAnsiTheme="majorHAnsi" w:cstheme="majorHAnsi"/>
                <w:b/>
                <w:color w:val="auto"/>
                <w:lang w:val="es-BO"/>
              </w:rPr>
            </w:pPr>
            <w:r w:rsidRPr="009E3F3B">
              <w:rPr>
                <w:rFonts w:asciiTheme="majorHAnsi" w:eastAsia="Arial Unicode MS" w:hAnsiTheme="majorHAnsi" w:cstheme="majorHAnsi"/>
                <w:b/>
                <w:color w:val="auto"/>
                <w:lang w:val="es-BO"/>
              </w:rPr>
              <w:t xml:space="preserve">Producto </w:t>
            </w:r>
            <w:r>
              <w:rPr>
                <w:rFonts w:asciiTheme="majorHAnsi" w:eastAsia="Arial Unicode MS" w:hAnsiTheme="majorHAnsi" w:cstheme="majorHAnsi"/>
                <w:b/>
                <w:color w:val="auto"/>
                <w:lang w:val="es-BO"/>
              </w:rPr>
              <w:t>3</w:t>
            </w:r>
            <w:r w:rsidRPr="009E3F3B">
              <w:rPr>
                <w:rFonts w:asciiTheme="majorHAnsi" w:eastAsia="Arial Unicode MS" w:hAnsiTheme="majorHAnsi" w:cstheme="majorHAnsi"/>
                <w:b/>
                <w:color w:val="auto"/>
                <w:lang w:val="es-BO"/>
              </w:rPr>
              <w:t xml:space="preserve">: </w:t>
            </w:r>
            <w:r>
              <w:rPr>
                <w:rFonts w:asciiTheme="majorHAnsi" w:eastAsia="Arial Unicode MS" w:hAnsiTheme="majorHAnsi" w:cstheme="majorHAnsi"/>
                <w:bCs/>
                <w:color w:val="auto"/>
                <w:lang w:val="es-BO"/>
              </w:rPr>
              <w:t>Diseño</w:t>
            </w:r>
            <w:r w:rsidRPr="007109E2">
              <w:rPr>
                <w:rFonts w:asciiTheme="majorHAnsi" w:eastAsia="Arial Unicode MS" w:hAnsiTheme="majorHAnsi" w:cstheme="majorHAnsi"/>
                <w:bCs/>
                <w:color w:val="auto"/>
                <w:lang w:val="es-BO"/>
              </w:rPr>
              <w:t xml:space="preserve"> de una metodología de estimación de presupuestos de DSSDR y VSG</w:t>
            </w:r>
          </w:p>
        </w:tc>
        <w:tc>
          <w:tcPr>
            <w:tcW w:w="5131" w:type="dxa"/>
            <w:gridSpan w:val="2"/>
            <w:shd w:val="clear" w:color="auto" w:fill="FFFFFF" w:themeFill="background1"/>
          </w:tcPr>
          <w:p w14:paraId="30FED3B7" w14:textId="18BFC0C0" w:rsidR="009D2001" w:rsidRPr="004F6D00" w:rsidRDefault="004F6D00" w:rsidP="004F6D00">
            <w:pPr>
              <w:pStyle w:val="ListParagraph"/>
              <w:numPr>
                <w:ilvl w:val="0"/>
                <w:numId w:val="39"/>
              </w:numPr>
              <w:spacing w:line="240" w:lineRule="auto"/>
              <w:ind w:left="179" w:hanging="179"/>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Cálculo</w:t>
            </w:r>
            <w:r w:rsidR="009D2001">
              <w:rPr>
                <w:rFonts w:asciiTheme="majorHAnsi" w:eastAsia="Arial Unicode MS" w:hAnsiTheme="majorHAnsi" w:cstheme="majorHAnsi"/>
                <w:bCs/>
                <w:color w:val="auto"/>
                <w:lang w:val="es-BO"/>
              </w:rPr>
              <w:t xml:space="preserve"> de los presupuestos (históricos) por Municipio destinados por los GAM priorizados </w:t>
            </w:r>
            <w:r>
              <w:rPr>
                <w:rFonts w:asciiTheme="majorHAnsi" w:eastAsia="Arial Unicode MS" w:hAnsiTheme="majorHAnsi" w:cstheme="majorHAnsi"/>
                <w:bCs/>
                <w:color w:val="auto"/>
                <w:lang w:val="es-BO"/>
              </w:rPr>
              <w:t>y a</w:t>
            </w:r>
            <w:r w:rsidRPr="004F6D00">
              <w:rPr>
                <w:rFonts w:asciiTheme="majorHAnsi" w:eastAsia="Arial Unicode MS" w:hAnsiTheme="majorHAnsi" w:cstheme="majorHAnsi"/>
                <w:bCs/>
                <w:color w:val="auto"/>
                <w:lang w:val="es-BO"/>
              </w:rPr>
              <w:t xml:space="preserve">nálisis de </w:t>
            </w:r>
            <w:r w:rsidR="009D2001" w:rsidRPr="004F6D00">
              <w:rPr>
                <w:rFonts w:asciiTheme="majorHAnsi" w:eastAsia="Arial Unicode MS" w:hAnsiTheme="majorHAnsi" w:cstheme="majorHAnsi"/>
                <w:bCs/>
                <w:color w:val="auto"/>
                <w:lang w:val="es-BO"/>
              </w:rPr>
              <w:t>la normativa existente.</w:t>
            </w:r>
          </w:p>
          <w:p w14:paraId="3B0CCEC0" w14:textId="55CE5780" w:rsidR="009D2001" w:rsidRDefault="009D2001" w:rsidP="009D2001">
            <w:pPr>
              <w:pStyle w:val="ListParagraph"/>
              <w:numPr>
                <w:ilvl w:val="0"/>
                <w:numId w:val="39"/>
              </w:numPr>
              <w:spacing w:line="240" w:lineRule="auto"/>
              <w:ind w:left="179" w:hanging="179"/>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Diseño de la metodología de estimación de DSSDR y VSG</w:t>
            </w:r>
            <w:r w:rsidRPr="00D006C3">
              <w:rPr>
                <w:lang w:val="es-BO"/>
              </w:rPr>
              <w:t xml:space="preserve"> </w:t>
            </w:r>
            <w:r w:rsidRPr="00D006C3">
              <w:rPr>
                <w:rFonts w:asciiTheme="majorHAnsi" w:eastAsia="Arial Unicode MS" w:hAnsiTheme="majorHAnsi" w:cstheme="majorHAnsi"/>
                <w:bCs/>
                <w:color w:val="auto"/>
                <w:lang w:val="es-BO"/>
              </w:rPr>
              <w:t>que incluya herramientas y técnicas de análisis financiero y socioeconómico para la estimación precisa</w:t>
            </w:r>
            <w:r>
              <w:rPr>
                <w:rFonts w:asciiTheme="majorHAnsi" w:eastAsia="Arial Unicode MS" w:hAnsiTheme="majorHAnsi" w:cstheme="majorHAnsi"/>
                <w:bCs/>
                <w:color w:val="auto"/>
                <w:lang w:val="es-BO"/>
              </w:rPr>
              <w:t xml:space="preserve"> de los presupuestos.</w:t>
            </w:r>
          </w:p>
          <w:p w14:paraId="2825A8DE" w14:textId="5263AE8C" w:rsidR="009D2001" w:rsidRPr="00D006C3" w:rsidRDefault="009D2001" w:rsidP="009D2001">
            <w:pPr>
              <w:pStyle w:val="ListParagraph"/>
              <w:numPr>
                <w:ilvl w:val="0"/>
                <w:numId w:val="39"/>
              </w:numPr>
              <w:spacing w:line="240" w:lineRule="auto"/>
              <w:ind w:left="179" w:hanging="179"/>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Metodología para la planificación</w:t>
            </w:r>
            <w:r w:rsidR="00EB4239">
              <w:rPr>
                <w:rFonts w:asciiTheme="majorHAnsi" w:eastAsia="Arial Unicode MS" w:hAnsiTheme="majorHAnsi" w:cstheme="majorHAnsi"/>
                <w:bCs/>
                <w:color w:val="auto"/>
                <w:lang w:val="es-BO"/>
              </w:rPr>
              <w:t xml:space="preserve">, monitoreo </w:t>
            </w:r>
            <w:r>
              <w:rPr>
                <w:rFonts w:asciiTheme="majorHAnsi" w:eastAsia="Arial Unicode MS" w:hAnsiTheme="majorHAnsi" w:cstheme="majorHAnsi"/>
                <w:bCs/>
                <w:color w:val="auto"/>
                <w:lang w:val="es-BO"/>
              </w:rPr>
              <w:t>y seguimiento a la ejecución presupuestaria bajo criterios de eficiencia y efectividad.</w:t>
            </w:r>
          </w:p>
          <w:p w14:paraId="47CC1B8C" w14:textId="2B968DD7" w:rsidR="009D2001" w:rsidRDefault="009D2001" w:rsidP="009D2001">
            <w:pPr>
              <w:spacing w:line="240" w:lineRule="auto"/>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
                <w:i/>
                <w:iCs/>
                <w:color w:val="auto"/>
                <w:lang w:val="es-BO"/>
              </w:rPr>
              <w:t>Objetivo:</w:t>
            </w:r>
            <w:r w:rsidRPr="009E3F3B">
              <w:rPr>
                <w:rFonts w:asciiTheme="majorHAnsi" w:eastAsia="Arial Unicode MS" w:hAnsiTheme="majorHAnsi" w:cstheme="majorHAnsi"/>
                <w:bCs/>
                <w:color w:val="auto"/>
                <w:lang w:val="es-BO"/>
              </w:rPr>
              <w:t xml:space="preserve"> </w:t>
            </w:r>
            <w:r>
              <w:rPr>
                <w:rFonts w:asciiTheme="majorHAnsi" w:eastAsia="Arial Unicode MS" w:hAnsiTheme="majorHAnsi" w:cstheme="majorHAnsi"/>
                <w:bCs/>
                <w:color w:val="auto"/>
                <w:lang w:val="es-BO"/>
              </w:rPr>
              <w:t>Diseñar</w:t>
            </w:r>
            <w:r w:rsidRPr="007109E2">
              <w:rPr>
                <w:rFonts w:asciiTheme="majorHAnsi" w:eastAsia="Arial Unicode MS" w:hAnsiTheme="majorHAnsi" w:cstheme="majorHAnsi"/>
                <w:bCs/>
                <w:color w:val="auto"/>
                <w:lang w:val="es-BO"/>
              </w:rPr>
              <w:t xml:space="preserve"> una metodología que oriente la estimación de presupuestos municipales destinados a DSSDR y VSG</w:t>
            </w:r>
            <w:r>
              <w:rPr>
                <w:rFonts w:asciiTheme="majorHAnsi" w:eastAsia="Arial Unicode MS" w:hAnsiTheme="majorHAnsi" w:cstheme="majorHAnsi"/>
                <w:bCs/>
                <w:color w:val="auto"/>
                <w:lang w:val="es-BO"/>
              </w:rPr>
              <w:t xml:space="preserve"> e instrumentos de seguimiento a su eficiente y efectiva ejecución.</w:t>
            </w:r>
          </w:p>
          <w:p w14:paraId="2FF7B7AC" w14:textId="2D2DFDB6" w:rsidR="009D2001" w:rsidRPr="00DD3D47" w:rsidRDefault="009D2001" w:rsidP="009D2001">
            <w:pPr>
              <w:pStyle w:val="ListParagraph"/>
              <w:numPr>
                <w:ilvl w:val="0"/>
                <w:numId w:val="39"/>
              </w:numPr>
              <w:spacing w:line="240" w:lineRule="auto"/>
              <w:ind w:left="179" w:hanging="179"/>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
                <w:i/>
                <w:iCs/>
                <w:color w:val="auto"/>
                <w:lang w:val="es-BO"/>
              </w:rPr>
              <w:t>Entregables:</w:t>
            </w:r>
            <w:r>
              <w:rPr>
                <w:rFonts w:asciiTheme="majorHAnsi" w:eastAsia="Arial Unicode MS" w:hAnsiTheme="majorHAnsi" w:cstheme="majorHAnsi"/>
                <w:b/>
                <w:i/>
                <w:iCs/>
                <w:color w:val="auto"/>
                <w:lang w:val="es-BO"/>
              </w:rPr>
              <w:t xml:space="preserve"> </w:t>
            </w:r>
            <w:r w:rsidRPr="00D5765E">
              <w:rPr>
                <w:rFonts w:asciiTheme="majorHAnsi" w:eastAsia="Arial Unicode MS" w:hAnsiTheme="majorHAnsi" w:cstheme="majorHAnsi"/>
                <w:bCs/>
                <w:color w:val="auto"/>
                <w:lang w:val="es-BO"/>
              </w:rPr>
              <w:t>M</w:t>
            </w:r>
            <w:r>
              <w:rPr>
                <w:rFonts w:asciiTheme="majorHAnsi" w:eastAsia="Arial Unicode MS" w:hAnsiTheme="majorHAnsi" w:cstheme="majorHAnsi"/>
                <w:bCs/>
                <w:color w:val="auto"/>
                <w:lang w:val="es-BO"/>
              </w:rPr>
              <w:t>etodología de estimación de presupuestos de DSSDR y VSG e instrumentos de seguimiento.</w:t>
            </w:r>
          </w:p>
        </w:tc>
        <w:tc>
          <w:tcPr>
            <w:tcW w:w="1778" w:type="dxa"/>
            <w:shd w:val="clear" w:color="auto" w:fill="FFFFFF" w:themeFill="background1"/>
            <w:vAlign w:val="center"/>
          </w:tcPr>
          <w:p w14:paraId="4D4E06F1" w14:textId="3013E3ED" w:rsidR="009D2001" w:rsidRPr="009E3F3B" w:rsidRDefault="00C35F8A" w:rsidP="009D2001">
            <w:pPr>
              <w:spacing w:line="240" w:lineRule="auto"/>
              <w:jc w:val="both"/>
              <w:rPr>
                <w:rFonts w:asciiTheme="majorHAnsi" w:eastAsia="Arial Unicode MS" w:hAnsiTheme="majorHAnsi" w:cstheme="majorHAnsi"/>
                <w:b/>
                <w:color w:val="auto"/>
                <w:lang w:val="es-BO"/>
              </w:rPr>
            </w:pPr>
            <w:r w:rsidRPr="00C35F8A">
              <w:rPr>
                <w:rFonts w:asciiTheme="majorHAnsi" w:eastAsia="Arial Unicode MS" w:hAnsiTheme="majorHAnsi" w:cstheme="majorHAnsi"/>
                <w:bCs/>
                <w:color w:val="000000" w:themeColor="text1"/>
                <w:lang w:val="es-BO"/>
              </w:rPr>
              <w:t>56</w:t>
            </w:r>
            <w:r w:rsidR="009D2001" w:rsidRPr="009E3F3B">
              <w:rPr>
                <w:rFonts w:asciiTheme="majorHAnsi" w:eastAsia="Arial Unicode MS" w:hAnsiTheme="majorHAnsi" w:cstheme="majorHAnsi"/>
                <w:bCs/>
                <w:color w:val="auto"/>
                <w:lang w:val="es-BO"/>
              </w:rPr>
              <w:t xml:space="preserve"> días después de firmado el contrato</w:t>
            </w:r>
          </w:p>
        </w:tc>
        <w:tc>
          <w:tcPr>
            <w:tcW w:w="990" w:type="dxa"/>
            <w:shd w:val="clear" w:color="auto" w:fill="FFFFFF" w:themeFill="background1"/>
            <w:vAlign w:val="center"/>
          </w:tcPr>
          <w:p w14:paraId="456D3400" w14:textId="6E4DA772" w:rsidR="009D2001" w:rsidRPr="00E55969" w:rsidRDefault="00FE6ED9" w:rsidP="009D2001">
            <w:pPr>
              <w:spacing w:line="240" w:lineRule="auto"/>
              <w:jc w:val="center"/>
              <w:rPr>
                <w:rFonts w:asciiTheme="majorHAnsi" w:eastAsia="Arial Unicode MS" w:hAnsiTheme="majorHAnsi" w:cstheme="majorHAnsi"/>
                <w:bCs/>
                <w:color w:val="FF0000"/>
                <w:lang w:val="es-BO"/>
              </w:rPr>
            </w:pPr>
            <w:r>
              <w:rPr>
                <w:rFonts w:asciiTheme="majorHAnsi" w:eastAsia="Arial Unicode MS" w:hAnsiTheme="majorHAnsi" w:cstheme="majorHAnsi"/>
                <w:bCs/>
                <w:color w:val="auto"/>
                <w:lang w:val="es-BO"/>
              </w:rPr>
              <w:t>24%</w:t>
            </w:r>
          </w:p>
        </w:tc>
      </w:tr>
      <w:tr w:rsidR="009D2001" w:rsidRPr="00F12E35" w14:paraId="07B64F82" w14:textId="77777777" w:rsidTr="00103826">
        <w:trPr>
          <w:gridAfter w:val="1"/>
          <w:wAfter w:w="6" w:type="dxa"/>
          <w:cantSplit/>
        </w:trPr>
        <w:tc>
          <w:tcPr>
            <w:tcW w:w="622" w:type="dxa"/>
            <w:shd w:val="clear" w:color="auto" w:fill="FFFFFF" w:themeFill="background1"/>
            <w:vAlign w:val="center"/>
          </w:tcPr>
          <w:p w14:paraId="083E8D1E" w14:textId="77777777" w:rsidR="009D2001" w:rsidRPr="009E3F3B" w:rsidRDefault="009D2001" w:rsidP="009D2001">
            <w:pPr>
              <w:spacing w:line="240" w:lineRule="auto"/>
              <w:jc w:val="center"/>
              <w:rPr>
                <w:rFonts w:asciiTheme="majorHAnsi" w:eastAsia="Arial Unicode MS" w:hAnsiTheme="majorHAnsi" w:cstheme="majorHAnsi"/>
                <w:b/>
                <w:color w:val="auto"/>
                <w:lang w:val="es-BO"/>
              </w:rPr>
            </w:pPr>
          </w:p>
          <w:p w14:paraId="5A747718" w14:textId="580CAED9" w:rsidR="009D2001" w:rsidRPr="009E3F3B" w:rsidRDefault="009D2001" w:rsidP="009D2001">
            <w:pPr>
              <w:spacing w:line="240" w:lineRule="auto"/>
              <w:jc w:val="center"/>
              <w:rPr>
                <w:rFonts w:asciiTheme="majorHAnsi" w:eastAsia="Arial Unicode MS" w:hAnsiTheme="majorHAnsi" w:cstheme="majorHAnsi"/>
                <w:b/>
                <w:color w:val="auto"/>
              </w:rPr>
            </w:pPr>
            <w:r>
              <w:rPr>
                <w:rFonts w:asciiTheme="majorHAnsi" w:eastAsia="Arial Unicode MS" w:hAnsiTheme="majorHAnsi" w:cstheme="majorHAnsi"/>
                <w:b/>
                <w:color w:val="auto"/>
              </w:rPr>
              <w:t>4</w:t>
            </w:r>
          </w:p>
          <w:p w14:paraId="4FB9AB66" w14:textId="77777777" w:rsidR="009D2001" w:rsidRPr="009E3F3B" w:rsidRDefault="009D2001" w:rsidP="009D2001">
            <w:pPr>
              <w:spacing w:line="240" w:lineRule="auto"/>
              <w:jc w:val="center"/>
              <w:rPr>
                <w:rFonts w:asciiTheme="majorHAnsi" w:eastAsia="Arial Unicode MS" w:hAnsiTheme="majorHAnsi" w:cstheme="majorHAnsi"/>
                <w:b/>
                <w:color w:val="auto"/>
              </w:rPr>
            </w:pPr>
          </w:p>
        </w:tc>
        <w:tc>
          <w:tcPr>
            <w:tcW w:w="1622" w:type="dxa"/>
            <w:shd w:val="clear" w:color="auto" w:fill="FFFFFF" w:themeFill="background1"/>
            <w:vAlign w:val="center"/>
          </w:tcPr>
          <w:p w14:paraId="2AA3D186" w14:textId="77777777" w:rsidR="009D2001" w:rsidRPr="009E3F3B" w:rsidRDefault="009D2001" w:rsidP="009D2001">
            <w:pPr>
              <w:spacing w:line="240" w:lineRule="auto"/>
              <w:rPr>
                <w:rFonts w:asciiTheme="majorHAnsi" w:eastAsia="Arial Unicode MS" w:hAnsiTheme="majorHAnsi" w:cstheme="majorHAnsi"/>
                <w:b/>
                <w:color w:val="auto"/>
                <w:lang w:val="es-BO"/>
              </w:rPr>
            </w:pPr>
          </w:p>
          <w:p w14:paraId="6C0F33D5" w14:textId="77777777" w:rsidR="009D2001" w:rsidRPr="009E3F3B" w:rsidRDefault="009D2001" w:rsidP="009D2001">
            <w:pPr>
              <w:spacing w:line="240" w:lineRule="auto"/>
              <w:rPr>
                <w:rFonts w:asciiTheme="majorHAnsi" w:eastAsia="Arial Unicode MS" w:hAnsiTheme="majorHAnsi" w:cstheme="majorHAnsi"/>
                <w:b/>
                <w:color w:val="auto"/>
                <w:lang w:val="es-BO"/>
              </w:rPr>
            </w:pPr>
          </w:p>
          <w:p w14:paraId="37730F9F" w14:textId="17C56E21" w:rsidR="009D2001" w:rsidRPr="009E3F3B" w:rsidRDefault="009D2001" w:rsidP="009D2001">
            <w:pPr>
              <w:spacing w:line="240" w:lineRule="auto"/>
              <w:rPr>
                <w:rFonts w:asciiTheme="majorHAnsi" w:eastAsia="Arial Unicode MS" w:hAnsiTheme="majorHAnsi" w:cstheme="majorHAnsi"/>
                <w:b/>
                <w:color w:val="auto"/>
                <w:lang w:val="es-BO"/>
              </w:rPr>
            </w:pPr>
            <w:r w:rsidRPr="009E3F3B">
              <w:rPr>
                <w:rFonts w:asciiTheme="majorHAnsi" w:eastAsia="Arial Unicode MS" w:hAnsiTheme="majorHAnsi" w:cstheme="majorHAnsi"/>
                <w:b/>
                <w:color w:val="auto"/>
                <w:lang w:val="es-BO"/>
              </w:rPr>
              <w:t xml:space="preserve">Producto </w:t>
            </w:r>
            <w:r w:rsidR="007613A0">
              <w:rPr>
                <w:rFonts w:asciiTheme="majorHAnsi" w:eastAsia="Arial Unicode MS" w:hAnsiTheme="majorHAnsi" w:cstheme="majorHAnsi"/>
                <w:b/>
                <w:color w:val="auto"/>
                <w:lang w:val="es-BO"/>
              </w:rPr>
              <w:t>4</w:t>
            </w:r>
            <w:r w:rsidRPr="009E3F3B">
              <w:rPr>
                <w:rFonts w:asciiTheme="majorHAnsi" w:eastAsia="Arial Unicode MS" w:hAnsiTheme="majorHAnsi" w:cstheme="majorHAnsi"/>
                <w:b/>
                <w:color w:val="auto"/>
                <w:lang w:val="es-BO"/>
              </w:rPr>
              <w:t xml:space="preserve">: </w:t>
            </w:r>
            <w:r w:rsidRPr="00D5765E">
              <w:rPr>
                <w:rFonts w:asciiTheme="majorHAnsi" w:eastAsia="Arial Unicode MS" w:hAnsiTheme="majorHAnsi" w:cstheme="majorHAnsi"/>
                <w:bCs/>
                <w:color w:val="auto"/>
                <w:lang w:val="es-BO"/>
              </w:rPr>
              <w:t>Socialización de la Guía y</w:t>
            </w:r>
            <w:r w:rsidRPr="006E20B5">
              <w:rPr>
                <w:rFonts w:asciiTheme="majorHAnsi" w:eastAsia="Arial Unicode MS" w:hAnsiTheme="majorHAnsi" w:cstheme="majorHAnsi"/>
                <w:bCs/>
                <w:color w:val="auto"/>
                <w:lang w:val="es-BO"/>
              </w:rPr>
              <w:t xml:space="preserve"> </w:t>
            </w:r>
            <w:r>
              <w:rPr>
                <w:rFonts w:asciiTheme="majorHAnsi" w:eastAsia="Arial Unicode MS" w:hAnsiTheme="majorHAnsi" w:cstheme="majorHAnsi"/>
                <w:bCs/>
                <w:color w:val="auto"/>
                <w:lang w:val="es-BO"/>
              </w:rPr>
              <w:t>capacitación</w:t>
            </w:r>
            <w:r w:rsidRPr="006E20B5">
              <w:rPr>
                <w:rFonts w:asciiTheme="majorHAnsi" w:eastAsia="Arial Unicode MS" w:hAnsiTheme="majorHAnsi" w:cstheme="majorHAnsi"/>
                <w:bCs/>
                <w:color w:val="auto"/>
                <w:lang w:val="es-BO"/>
              </w:rPr>
              <w:t xml:space="preserve"> para la inclusión de DSSDR y VSG en la planificación (POA) y presupuestación municipal</w:t>
            </w:r>
          </w:p>
          <w:p w14:paraId="51E71F2D" w14:textId="77777777" w:rsidR="009D2001" w:rsidRPr="009E3F3B" w:rsidRDefault="009D2001" w:rsidP="009D2001">
            <w:pPr>
              <w:spacing w:line="240" w:lineRule="auto"/>
              <w:rPr>
                <w:rFonts w:asciiTheme="majorHAnsi" w:eastAsia="Arial Unicode MS" w:hAnsiTheme="majorHAnsi" w:cstheme="majorHAnsi"/>
                <w:b/>
                <w:color w:val="auto"/>
                <w:lang w:val="es-BO"/>
              </w:rPr>
            </w:pPr>
          </w:p>
        </w:tc>
        <w:tc>
          <w:tcPr>
            <w:tcW w:w="5131" w:type="dxa"/>
            <w:gridSpan w:val="2"/>
            <w:shd w:val="clear" w:color="auto" w:fill="FFFFFF" w:themeFill="background1"/>
          </w:tcPr>
          <w:p w14:paraId="52030531" w14:textId="4FC29810" w:rsidR="009D2001" w:rsidRPr="00C35F8A" w:rsidRDefault="009D2001" w:rsidP="009D2001">
            <w:pPr>
              <w:pStyle w:val="ListParagraph"/>
              <w:numPr>
                <w:ilvl w:val="0"/>
                <w:numId w:val="39"/>
              </w:numPr>
              <w:spacing w:line="240" w:lineRule="auto"/>
              <w:ind w:left="179" w:hanging="179"/>
              <w:jc w:val="both"/>
              <w:rPr>
                <w:rFonts w:asciiTheme="majorHAnsi" w:eastAsia="Arial Unicode MS" w:hAnsiTheme="majorHAnsi" w:cstheme="majorHAnsi"/>
                <w:bCs/>
                <w:color w:val="000000" w:themeColor="text1"/>
                <w:lang w:val="es-BO"/>
              </w:rPr>
            </w:pPr>
            <w:r w:rsidRPr="00C35F8A">
              <w:rPr>
                <w:rFonts w:asciiTheme="majorHAnsi" w:eastAsia="Arial Unicode MS" w:hAnsiTheme="majorHAnsi" w:cstheme="majorHAnsi"/>
                <w:bCs/>
                <w:color w:val="000000" w:themeColor="text1"/>
                <w:lang w:val="es-BO"/>
              </w:rPr>
              <w:t>Desarrollo de materiales de capacitación que faciliten la comprensión y aplicación de la guía.</w:t>
            </w:r>
          </w:p>
          <w:p w14:paraId="09B59528" w14:textId="465173E2" w:rsidR="009D2001" w:rsidRPr="00C35F8A" w:rsidRDefault="009D2001" w:rsidP="009D2001">
            <w:pPr>
              <w:pStyle w:val="ListParagraph"/>
              <w:numPr>
                <w:ilvl w:val="0"/>
                <w:numId w:val="39"/>
              </w:numPr>
              <w:spacing w:line="240" w:lineRule="auto"/>
              <w:ind w:left="179" w:hanging="179"/>
              <w:jc w:val="both"/>
              <w:rPr>
                <w:rFonts w:asciiTheme="majorHAnsi" w:eastAsia="Arial Unicode MS" w:hAnsiTheme="majorHAnsi" w:cstheme="majorHAnsi"/>
                <w:bCs/>
                <w:color w:val="000000" w:themeColor="text1"/>
                <w:lang w:val="es-BO"/>
              </w:rPr>
            </w:pPr>
            <w:r w:rsidRPr="00C35F8A">
              <w:rPr>
                <w:rFonts w:asciiTheme="majorHAnsi" w:eastAsia="Arial Unicode MS" w:hAnsiTheme="majorHAnsi" w:cstheme="majorHAnsi"/>
                <w:bCs/>
                <w:color w:val="000000" w:themeColor="text1"/>
                <w:lang w:val="es-BO"/>
              </w:rPr>
              <w:t>Organización de talleres y sesiones de capacitación para los responsables de la planificación y presupuestación de los municipios, así como el personal relacionado con DSSDR y VSG</w:t>
            </w:r>
            <w:r w:rsidR="00D5765E" w:rsidRPr="00C35F8A">
              <w:rPr>
                <w:rFonts w:asciiTheme="majorHAnsi" w:eastAsia="Arial Unicode MS" w:hAnsiTheme="majorHAnsi" w:cstheme="majorHAnsi"/>
                <w:bCs/>
                <w:color w:val="000000" w:themeColor="text1"/>
                <w:lang w:val="es-BO"/>
              </w:rPr>
              <w:t xml:space="preserve"> </w:t>
            </w:r>
            <w:r w:rsidRPr="00C35F8A">
              <w:rPr>
                <w:rFonts w:asciiTheme="majorHAnsi" w:eastAsia="Arial Unicode MS" w:hAnsiTheme="majorHAnsi" w:cstheme="majorHAnsi"/>
                <w:bCs/>
                <w:color w:val="000000" w:themeColor="text1"/>
                <w:lang w:val="es-BO"/>
              </w:rPr>
              <w:t>y sociedad civil organizada</w:t>
            </w:r>
            <w:r w:rsidR="00D5765E" w:rsidRPr="00C35F8A">
              <w:rPr>
                <w:rFonts w:asciiTheme="majorHAnsi" w:eastAsia="Arial Unicode MS" w:hAnsiTheme="majorHAnsi" w:cstheme="majorHAnsi"/>
                <w:bCs/>
                <w:color w:val="000000" w:themeColor="text1"/>
                <w:lang w:val="es-BO"/>
              </w:rPr>
              <w:t>.</w:t>
            </w:r>
          </w:p>
          <w:p w14:paraId="1627E884" w14:textId="78D9815F" w:rsidR="009D2001" w:rsidRPr="00C35F8A" w:rsidRDefault="009D2001" w:rsidP="009D2001">
            <w:pPr>
              <w:spacing w:line="240" w:lineRule="auto"/>
              <w:jc w:val="both"/>
              <w:rPr>
                <w:rFonts w:asciiTheme="majorHAnsi" w:eastAsia="Arial Unicode MS" w:hAnsiTheme="majorHAnsi" w:cstheme="majorHAnsi"/>
                <w:bCs/>
                <w:color w:val="000000" w:themeColor="text1"/>
                <w:lang w:val="es-BO"/>
              </w:rPr>
            </w:pPr>
            <w:r w:rsidRPr="00C35F8A">
              <w:rPr>
                <w:rFonts w:asciiTheme="majorHAnsi" w:eastAsia="Arial Unicode MS" w:hAnsiTheme="majorHAnsi" w:cstheme="majorHAnsi"/>
                <w:b/>
                <w:i/>
                <w:iCs/>
                <w:color w:val="000000" w:themeColor="text1"/>
                <w:lang w:val="es-BO"/>
              </w:rPr>
              <w:t>Objetivo:</w:t>
            </w:r>
            <w:r w:rsidRPr="00C35F8A">
              <w:rPr>
                <w:rFonts w:asciiTheme="majorHAnsi" w:eastAsia="Arial Unicode MS" w:hAnsiTheme="majorHAnsi" w:cstheme="majorHAnsi"/>
                <w:bCs/>
                <w:color w:val="000000" w:themeColor="text1"/>
                <w:lang w:val="es-BO"/>
              </w:rPr>
              <w:t xml:space="preserve"> Implementar la Guía</w:t>
            </w:r>
            <w:r w:rsidR="007613A0" w:rsidRPr="00C35F8A">
              <w:rPr>
                <w:rFonts w:asciiTheme="majorHAnsi" w:eastAsia="Arial Unicode MS" w:hAnsiTheme="majorHAnsi" w:cstheme="majorHAnsi"/>
                <w:bCs/>
                <w:color w:val="000000" w:themeColor="text1"/>
                <w:lang w:val="es-BO"/>
              </w:rPr>
              <w:t xml:space="preserve"> de inclusión de DSSDR y VSG en la planificación (POA) y presupuestación municipal; y </w:t>
            </w:r>
            <w:r w:rsidRPr="00C35F8A">
              <w:rPr>
                <w:rFonts w:asciiTheme="majorHAnsi" w:eastAsia="Arial Unicode MS" w:hAnsiTheme="majorHAnsi" w:cstheme="majorHAnsi"/>
                <w:bCs/>
                <w:color w:val="000000" w:themeColor="text1"/>
                <w:lang w:val="es-BO"/>
              </w:rPr>
              <w:t>la metodología</w:t>
            </w:r>
            <w:r w:rsidR="007613A0" w:rsidRPr="00C35F8A">
              <w:rPr>
                <w:rFonts w:asciiTheme="majorHAnsi" w:eastAsia="Arial Unicode MS" w:hAnsiTheme="majorHAnsi" w:cstheme="majorHAnsi"/>
                <w:bCs/>
                <w:color w:val="000000" w:themeColor="text1"/>
                <w:lang w:val="es-BO"/>
              </w:rPr>
              <w:t xml:space="preserve"> de estimación</w:t>
            </w:r>
            <w:r w:rsidRPr="00C35F8A">
              <w:rPr>
                <w:rFonts w:asciiTheme="majorHAnsi" w:eastAsia="Arial Unicode MS" w:hAnsiTheme="majorHAnsi" w:cstheme="majorHAnsi"/>
                <w:bCs/>
                <w:color w:val="000000" w:themeColor="text1"/>
                <w:lang w:val="es-BO"/>
              </w:rPr>
              <w:t xml:space="preserve"> y los instrumentos para la, a través de procesos de capacitación, en los GAM de El Alto, Trinidad y Cobija.</w:t>
            </w:r>
          </w:p>
          <w:p w14:paraId="4AF7E766" w14:textId="2242F842" w:rsidR="00126DAB" w:rsidRPr="00C35F8A" w:rsidRDefault="009D2001" w:rsidP="009D2001">
            <w:pPr>
              <w:spacing w:line="240" w:lineRule="auto"/>
              <w:jc w:val="both"/>
              <w:rPr>
                <w:rFonts w:asciiTheme="majorHAnsi" w:eastAsia="Arial Unicode MS" w:hAnsiTheme="majorHAnsi" w:cstheme="majorHAnsi"/>
                <w:b/>
                <w:color w:val="000000" w:themeColor="text1"/>
                <w:lang w:val="es-BO"/>
              </w:rPr>
            </w:pPr>
            <w:r w:rsidRPr="00C35F8A">
              <w:rPr>
                <w:rFonts w:asciiTheme="majorHAnsi" w:eastAsia="Arial Unicode MS" w:hAnsiTheme="majorHAnsi" w:cstheme="majorHAnsi"/>
                <w:b/>
                <w:i/>
                <w:iCs/>
                <w:color w:val="000000" w:themeColor="text1"/>
                <w:lang w:val="es-BO"/>
              </w:rPr>
              <w:t>Entregable</w:t>
            </w:r>
            <w:r w:rsidR="00126DAB" w:rsidRPr="00C35F8A">
              <w:rPr>
                <w:rFonts w:asciiTheme="majorHAnsi" w:eastAsia="Arial Unicode MS" w:hAnsiTheme="majorHAnsi" w:cstheme="majorHAnsi"/>
                <w:b/>
                <w:i/>
                <w:iCs/>
                <w:color w:val="000000" w:themeColor="text1"/>
                <w:lang w:val="es-BO"/>
              </w:rPr>
              <w:t>s</w:t>
            </w:r>
            <w:r w:rsidRPr="00C35F8A">
              <w:rPr>
                <w:rFonts w:asciiTheme="majorHAnsi" w:eastAsia="Arial Unicode MS" w:hAnsiTheme="majorHAnsi" w:cstheme="majorHAnsi"/>
                <w:b/>
                <w:i/>
                <w:iCs/>
                <w:color w:val="000000" w:themeColor="text1"/>
                <w:lang w:val="es-BO"/>
              </w:rPr>
              <w:t>:</w:t>
            </w:r>
            <w:r w:rsidRPr="00C35F8A">
              <w:rPr>
                <w:rFonts w:asciiTheme="majorHAnsi" w:eastAsia="Arial Unicode MS" w:hAnsiTheme="majorHAnsi" w:cstheme="majorHAnsi"/>
                <w:b/>
                <w:color w:val="000000" w:themeColor="text1"/>
                <w:lang w:val="es-BO"/>
              </w:rPr>
              <w:t xml:space="preserve"> </w:t>
            </w:r>
          </w:p>
          <w:p w14:paraId="32E67267" w14:textId="57CA13AC" w:rsidR="00126DAB" w:rsidRPr="00C35F8A" w:rsidRDefault="00126DAB" w:rsidP="009D2001">
            <w:pPr>
              <w:spacing w:line="240" w:lineRule="auto"/>
              <w:jc w:val="both"/>
              <w:rPr>
                <w:rFonts w:asciiTheme="majorHAnsi" w:eastAsia="Arial Unicode MS" w:hAnsiTheme="majorHAnsi" w:cstheme="majorHAnsi"/>
                <w:bCs/>
                <w:color w:val="000000" w:themeColor="text1"/>
                <w:lang w:val="es-BO"/>
              </w:rPr>
            </w:pPr>
            <w:r w:rsidRPr="00C35F8A">
              <w:rPr>
                <w:rFonts w:asciiTheme="majorHAnsi" w:eastAsia="Arial Unicode MS" w:hAnsiTheme="majorHAnsi" w:cstheme="majorHAnsi"/>
                <w:bCs/>
                <w:color w:val="000000" w:themeColor="text1"/>
                <w:lang w:val="es-BO"/>
              </w:rPr>
              <w:t>-</w:t>
            </w:r>
            <w:r w:rsidR="007613A0" w:rsidRPr="00C35F8A">
              <w:rPr>
                <w:rFonts w:asciiTheme="majorHAnsi" w:eastAsia="Arial Unicode MS" w:hAnsiTheme="majorHAnsi" w:cstheme="majorHAnsi"/>
                <w:bCs/>
                <w:color w:val="000000" w:themeColor="text1"/>
                <w:lang w:val="es-BO"/>
              </w:rPr>
              <w:t>Informe</w:t>
            </w:r>
            <w:r w:rsidR="009D2001" w:rsidRPr="00C35F8A">
              <w:rPr>
                <w:rFonts w:asciiTheme="majorHAnsi" w:eastAsia="Arial Unicode MS" w:hAnsiTheme="majorHAnsi" w:cstheme="majorHAnsi"/>
                <w:bCs/>
                <w:color w:val="000000" w:themeColor="text1"/>
                <w:lang w:val="es-BO"/>
              </w:rPr>
              <w:t xml:space="preserve"> que detalle los resultados del proceso de capacitación</w:t>
            </w:r>
            <w:r w:rsidR="008F4E97" w:rsidRPr="00C35F8A">
              <w:rPr>
                <w:rFonts w:asciiTheme="majorHAnsi" w:eastAsia="Arial Unicode MS" w:hAnsiTheme="majorHAnsi" w:cstheme="majorHAnsi"/>
                <w:bCs/>
                <w:color w:val="000000" w:themeColor="text1"/>
                <w:lang w:val="es-BO"/>
              </w:rPr>
              <w:t xml:space="preserve"> </w:t>
            </w:r>
            <w:r w:rsidR="009D2001" w:rsidRPr="00C35F8A">
              <w:rPr>
                <w:rFonts w:asciiTheme="majorHAnsi" w:eastAsia="Arial Unicode MS" w:hAnsiTheme="majorHAnsi" w:cstheme="majorHAnsi"/>
                <w:bCs/>
                <w:color w:val="000000" w:themeColor="text1"/>
                <w:lang w:val="es-BO"/>
              </w:rPr>
              <w:t>(en medio impreso y digital) y que incluya evidencias como: actas, listas, compromisos, memorias de cálculo, presentaciones, fotografías, entre otros.</w:t>
            </w:r>
          </w:p>
          <w:p w14:paraId="20F1511C" w14:textId="7E619AF3" w:rsidR="009D2001" w:rsidRPr="00C35F8A" w:rsidRDefault="00126DAB" w:rsidP="009D2001">
            <w:pPr>
              <w:spacing w:line="240" w:lineRule="auto"/>
              <w:jc w:val="both"/>
              <w:rPr>
                <w:rFonts w:asciiTheme="majorHAnsi" w:eastAsia="Arial Unicode MS" w:hAnsiTheme="majorHAnsi" w:cstheme="majorHAnsi"/>
                <w:b/>
                <w:color w:val="000000" w:themeColor="text1"/>
                <w:lang w:val="es-BO"/>
              </w:rPr>
            </w:pPr>
            <w:r w:rsidRPr="00C35F8A">
              <w:rPr>
                <w:rFonts w:asciiTheme="majorHAnsi" w:eastAsia="Arial Unicode MS" w:hAnsiTheme="majorHAnsi" w:cstheme="majorHAnsi"/>
                <w:bCs/>
                <w:color w:val="000000" w:themeColor="text1"/>
                <w:lang w:val="es-BO"/>
              </w:rPr>
              <w:t>-</w:t>
            </w:r>
            <w:r w:rsidRPr="00C35F8A">
              <w:rPr>
                <w:color w:val="000000" w:themeColor="text1"/>
                <w:lang w:val="es-BO"/>
              </w:rPr>
              <w:t xml:space="preserve"> </w:t>
            </w:r>
            <w:r w:rsidRPr="00C35F8A">
              <w:rPr>
                <w:rFonts w:asciiTheme="majorHAnsi" w:eastAsia="Arial Unicode MS" w:hAnsiTheme="majorHAnsi" w:cstheme="majorHAnsi"/>
                <w:bCs/>
                <w:color w:val="000000" w:themeColor="text1"/>
                <w:lang w:val="es-BO"/>
              </w:rPr>
              <w:t>Guía de inclusión de DSSDR y VSG en la planificación (POA) y presupuestación municipal; y la metodología de estimación y los instrumentos validados.</w:t>
            </w:r>
          </w:p>
        </w:tc>
        <w:tc>
          <w:tcPr>
            <w:tcW w:w="1778" w:type="dxa"/>
            <w:shd w:val="clear" w:color="auto" w:fill="FFFFFF" w:themeFill="background1"/>
          </w:tcPr>
          <w:p w14:paraId="0DCC941B" w14:textId="77777777" w:rsidR="009D2001" w:rsidRPr="00C35F8A" w:rsidRDefault="009D2001" w:rsidP="009D2001">
            <w:pPr>
              <w:spacing w:line="240" w:lineRule="auto"/>
              <w:jc w:val="both"/>
              <w:rPr>
                <w:rFonts w:asciiTheme="majorHAnsi" w:eastAsia="Arial Unicode MS" w:hAnsiTheme="majorHAnsi" w:cstheme="majorHAnsi"/>
                <w:b/>
                <w:color w:val="000000" w:themeColor="text1"/>
                <w:lang w:val="es-BO"/>
              </w:rPr>
            </w:pPr>
          </w:p>
          <w:p w14:paraId="5F512A50" w14:textId="77777777" w:rsidR="009D2001" w:rsidRPr="00C35F8A" w:rsidRDefault="009D2001" w:rsidP="009D2001">
            <w:pPr>
              <w:spacing w:line="240" w:lineRule="auto"/>
              <w:jc w:val="both"/>
              <w:rPr>
                <w:rFonts w:asciiTheme="majorHAnsi" w:eastAsia="Arial Unicode MS" w:hAnsiTheme="majorHAnsi" w:cstheme="majorHAnsi"/>
                <w:b/>
                <w:color w:val="000000" w:themeColor="text1"/>
                <w:lang w:val="es-BO"/>
              </w:rPr>
            </w:pPr>
          </w:p>
          <w:p w14:paraId="401ED4C4" w14:textId="77777777" w:rsidR="009D2001" w:rsidRPr="00C35F8A" w:rsidRDefault="009D2001" w:rsidP="009D2001">
            <w:pPr>
              <w:spacing w:line="240" w:lineRule="auto"/>
              <w:jc w:val="both"/>
              <w:rPr>
                <w:rFonts w:asciiTheme="majorHAnsi" w:eastAsia="Arial Unicode MS" w:hAnsiTheme="majorHAnsi" w:cstheme="majorHAnsi"/>
                <w:b/>
                <w:color w:val="000000" w:themeColor="text1"/>
                <w:lang w:val="es-BO"/>
              </w:rPr>
            </w:pPr>
          </w:p>
          <w:p w14:paraId="03434FCE" w14:textId="77777777" w:rsidR="009D2001" w:rsidRPr="00C35F8A" w:rsidRDefault="009D2001" w:rsidP="009D2001">
            <w:pPr>
              <w:spacing w:line="240" w:lineRule="auto"/>
              <w:jc w:val="both"/>
              <w:rPr>
                <w:rFonts w:asciiTheme="majorHAnsi" w:eastAsia="Arial Unicode MS" w:hAnsiTheme="majorHAnsi" w:cstheme="majorHAnsi"/>
                <w:b/>
                <w:color w:val="000000" w:themeColor="text1"/>
                <w:lang w:val="es-BO"/>
              </w:rPr>
            </w:pPr>
          </w:p>
          <w:p w14:paraId="213B3CF7" w14:textId="77777777" w:rsidR="009D2001" w:rsidRPr="00C35F8A" w:rsidRDefault="009D2001" w:rsidP="009D2001">
            <w:pPr>
              <w:spacing w:line="240" w:lineRule="auto"/>
              <w:jc w:val="both"/>
              <w:rPr>
                <w:rFonts w:asciiTheme="majorHAnsi" w:eastAsia="Arial Unicode MS" w:hAnsiTheme="majorHAnsi" w:cstheme="majorHAnsi"/>
                <w:b/>
                <w:color w:val="000000" w:themeColor="text1"/>
                <w:lang w:val="es-BO"/>
              </w:rPr>
            </w:pPr>
          </w:p>
          <w:p w14:paraId="7915C0A2" w14:textId="77777777" w:rsidR="009D2001" w:rsidRPr="00C35F8A" w:rsidRDefault="009D2001" w:rsidP="009D2001">
            <w:pPr>
              <w:spacing w:line="240" w:lineRule="auto"/>
              <w:jc w:val="both"/>
              <w:rPr>
                <w:rFonts w:asciiTheme="majorHAnsi" w:eastAsia="Arial Unicode MS" w:hAnsiTheme="majorHAnsi" w:cstheme="majorHAnsi"/>
                <w:b/>
                <w:color w:val="000000" w:themeColor="text1"/>
                <w:lang w:val="es-BO"/>
              </w:rPr>
            </w:pPr>
          </w:p>
          <w:p w14:paraId="26928F72" w14:textId="77777777" w:rsidR="009D2001" w:rsidRPr="00C35F8A" w:rsidRDefault="009D2001" w:rsidP="009D2001">
            <w:pPr>
              <w:spacing w:line="240" w:lineRule="auto"/>
              <w:jc w:val="both"/>
              <w:rPr>
                <w:rFonts w:asciiTheme="majorHAnsi" w:eastAsia="Arial Unicode MS" w:hAnsiTheme="majorHAnsi" w:cstheme="majorHAnsi"/>
                <w:bCs/>
                <w:color w:val="000000" w:themeColor="text1"/>
                <w:lang w:val="es-BO"/>
              </w:rPr>
            </w:pPr>
          </w:p>
          <w:p w14:paraId="466FCDAD" w14:textId="77777777" w:rsidR="00E55969" w:rsidRPr="00C35F8A" w:rsidRDefault="00E55969" w:rsidP="009D2001">
            <w:pPr>
              <w:spacing w:line="240" w:lineRule="auto"/>
              <w:jc w:val="both"/>
              <w:rPr>
                <w:rFonts w:asciiTheme="majorHAnsi" w:eastAsia="Arial Unicode MS" w:hAnsiTheme="majorHAnsi" w:cstheme="majorHAnsi"/>
                <w:bCs/>
                <w:color w:val="000000" w:themeColor="text1"/>
                <w:lang w:val="es-BO"/>
              </w:rPr>
            </w:pPr>
          </w:p>
          <w:p w14:paraId="64C15112" w14:textId="32E303A6" w:rsidR="009D2001" w:rsidRPr="00C35F8A" w:rsidRDefault="00C35F8A" w:rsidP="009D2001">
            <w:pPr>
              <w:spacing w:line="240" w:lineRule="auto"/>
              <w:jc w:val="both"/>
              <w:rPr>
                <w:rFonts w:asciiTheme="majorHAnsi" w:eastAsia="Arial Unicode MS" w:hAnsiTheme="majorHAnsi" w:cstheme="majorHAnsi"/>
                <w:b/>
                <w:color w:val="000000" w:themeColor="text1"/>
                <w:lang w:val="es-BO"/>
              </w:rPr>
            </w:pPr>
            <w:r w:rsidRPr="00C35F8A">
              <w:rPr>
                <w:rFonts w:asciiTheme="majorHAnsi" w:eastAsia="Arial Unicode MS" w:hAnsiTheme="majorHAnsi" w:cstheme="majorHAnsi"/>
                <w:bCs/>
                <w:color w:val="000000" w:themeColor="text1"/>
                <w:lang w:val="es-BO"/>
              </w:rPr>
              <w:t>120</w:t>
            </w:r>
            <w:r w:rsidR="009D2001" w:rsidRPr="00C35F8A">
              <w:rPr>
                <w:rFonts w:asciiTheme="majorHAnsi" w:eastAsia="Arial Unicode MS" w:hAnsiTheme="majorHAnsi" w:cstheme="majorHAnsi"/>
                <w:bCs/>
                <w:color w:val="000000" w:themeColor="text1"/>
                <w:lang w:val="es-BO"/>
              </w:rPr>
              <w:t xml:space="preserve"> días después de firmado el contrato</w:t>
            </w:r>
          </w:p>
        </w:tc>
        <w:tc>
          <w:tcPr>
            <w:tcW w:w="990" w:type="dxa"/>
            <w:shd w:val="clear" w:color="auto" w:fill="FFFFFF" w:themeFill="background1"/>
            <w:vAlign w:val="center"/>
          </w:tcPr>
          <w:p w14:paraId="67501EB1" w14:textId="29E344F7" w:rsidR="009D2001" w:rsidRPr="00E55969" w:rsidRDefault="00FE6ED9" w:rsidP="009D2001">
            <w:pPr>
              <w:spacing w:line="240" w:lineRule="auto"/>
              <w:jc w:val="center"/>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24%</w:t>
            </w:r>
          </w:p>
        </w:tc>
      </w:tr>
      <w:tr w:rsidR="009D2001" w:rsidRPr="00F12E35" w14:paraId="72524520" w14:textId="77777777" w:rsidTr="00103826">
        <w:trPr>
          <w:gridAfter w:val="1"/>
          <w:wAfter w:w="6" w:type="dxa"/>
          <w:cantSplit/>
        </w:trPr>
        <w:tc>
          <w:tcPr>
            <w:tcW w:w="622" w:type="dxa"/>
            <w:shd w:val="clear" w:color="auto" w:fill="FFFFFF" w:themeFill="background1"/>
            <w:vAlign w:val="center"/>
          </w:tcPr>
          <w:p w14:paraId="44135C4C" w14:textId="77777777" w:rsidR="009D2001" w:rsidRPr="009E3F3B" w:rsidRDefault="009D2001" w:rsidP="009D2001">
            <w:pPr>
              <w:spacing w:line="240" w:lineRule="auto"/>
              <w:jc w:val="center"/>
              <w:rPr>
                <w:rFonts w:asciiTheme="majorHAnsi" w:eastAsia="Arial Unicode MS" w:hAnsiTheme="majorHAnsi" w:cstheme="majorHAnsi"/>
                <w:b/>
                <w:color w:val="auto"/>
                <w:lang w:val="es-BO"/>
              </w:rPr>
            </w:pPr>
          </w:p>
          <w:p w14:paraId="6DAC375C" w14:textId="2C016396" w:rsidR="009D2001" w:rsidRPr="009E3F3B" w:rsidRDefault="007613A0" w:rsidP="009D2001">
            <w:pPr>
              <w:spacing w:line="240" w:lineRule="auto"/>
              <w:jc w:val="center"/>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5</w:t>
            </w:r>
          </w:p>
          <w:p w14:paraId="37EF7B38" w14:textId="77777777" w:rsidR="009D2001" w:rsidRPr="009E3F3B" w:rsidRDefault="009D2001" w:rsidP="009D2001">
            <w:pPr>
              <w:spacing w:line="240" w:lineRule="auto"/>
              <w:jc w:val="center"/>
              <w:rPr>
                <w:rFonts w:asciiTheme="majorHAnsi" w:eastAsia="Arial Unicode MS" w:hAnsiTheme="majorHAnsi" w:cstheme="majorHAnsi"/>
                <w:b/>
                <w:color w:val="auto"/>
                <w:lang w:val="es-BO"/>
              </w:rPr>
            </w:pPr>
          </w:p>
          <w:p w14:paraId="7B1EF86B" w14:textId="77777777" w:rsidR="009D2001" w:rsidRPr="009E3F3B" w:rsidRDefault="009D2001" w:rsidP="009D2001">
            <w:pPr>
              <w:spacing w:line="240" w:lineRule="auto"/>
              <w:jc w:val="center"/>
              <w:rPr>
                <w:rFonts w:asciiTheme="majorHAnsi" w:eastAsia="Arial Unicode MS" w:hAnsiTheme="majorHAnsi" w:cstheme="majorHAnsi"/>
                <w:b/>
                <w:color w:val="auto"/>
                <w:lang w:val="es-BO"/>
              </w:rPr>
            </w:pPr>
          </w:p>
        </w:tc>
        <w:tc>
          <w:tcPr>
            <w:tcW w:w="1622" w:type="dxa"/>
            <w:shd w:val="clear" w:color="auto" w:fill="FFFFFF" w:themeFill="background1"/>
            <w:vAlign w:val="center"/>
          </w:tcPr>
          <w:p w14:paraId="5FDF715F" w14:textId="77777777" w:rsidR="009D2001" w:rsidRPr="009E3F3B" w:rsidRDefault="009D2001" w:rsidP="009D2001">
            <w:pPr>
              <w:spacing w:line="240" w:lineRule="auto"/>
              <w:rPr>
                <w:rFonts w:asciiTheme="majorHAnsi" w:eastAsia="Arial Unicode MS" w:hAnsiTheme="majorHAnsi" w:cstheme="majorHAnsi"/>
                <w:b/>
                <w:color w:val="auto"/>
                <w:lang w:val="es-BO"/>
              </w:rPr>
            </w:pPr>
          </w:p>
          <w:p w14:paraId="650D84DD" w14:textId="29162388" w:rsidR="009D2001" w:rsidRPr="009E3F3B" w:rsidRDefault="009D2001" w:rsidP="009D2001">
            <w:pPr>
              <w:spacing w:line="240" w:lineRule="auto"/>
              <w:rPr>
                <w:rFonts w:asciiTheme="majorHAnsi" w:eastAsia="Arial Unicode MS" w:hAnsiTheme="majorHAnsi" w:cstheme="majorHAnsi"/>
                <w:b/>
                <w:color w:val="auto"/>
                <w:lang w:val="es-BO"/>
              </w:rPr>
            </w:pPr>
            <w:r w:rsidRPr="009E3F3B">
              <w:rPr>
                <w:rFonts w:asciiTheme="majorHAnsi" w:eastAsia="Arial Unicode MS" w:hAnsiTheme="majorHAnsi" w:cstheme="majorHAnsi"/>
                <w:b/>
                <w:color w:val="auto"/>
                <w:lang w:val="es-BO"/>
              </w:rPr>
              <w:t xml:space="preserve">Producto </w:t>
            </w:r>
            <w:r w:rsidR="00126DAB">
              <w:rPr>
                <w:rFonts w:asciiTheme="majorHAnsi" w:eastAsia="Arial Unicode MS" w:hAnsiTheme="majorHAnsi" w:cstheme="majorHAnsi"/>
                <w:b/>
                <w:color w:val="auto"/>
                <w:lang w:val="es-BO"/>
              </w:rPr>
              <w:t>5</w:t>
            </w:r>
            <w:r w:rsidRPr="009E3F3B">
              <w:rPr>
                <w:rFonts w:asciiTheme="majorHAnsi" w:eastAsia="Arial Unicode MS" w:hAnsiTheme="majorHAnsi" w:cstheme="majorHAnsi"/>
                <w:b/>
                <w:color w:val="auto"/>
                <w:lang w:val="es-BO"/>
              </w:rPr>
              <w:t xml:space="preserve">: </w:t>
            </w:r>
            <w:r w:rsidRPr="003D795D">
              <w:rPr>
                <w:rFonts w:asciiTheme="majorHAnsi" w:eastAsia="Arial Unicode MS" w:hAnsiTheme="majorHAnsi" w:cstheme="majorHAnsi"/>
                <w:bCs/>
                <w:color w:val="auto"/>
                <w:lang w:val="es-BO"/>
              </w:rPr>
              <w:t>Asistencia técnica en la formulación del POA Municipal 2026</w:t>
            </w:r>
            <w:r>
              <w:rPr>
                <w:rFonts w:asciiTheme="majorHAnsi" w:eastAsia="Arial Unicode MS" w:hAnsiTheme="majorHAnsi" w:cstheme="majorHAnsi"/>
                <w:bCs/>
                <w:color w:val="auto"/>
                <w:lang w:val="es-BO"/>
              </w:rPr>
              <w:t xml:space="preserve"> que incluye la aplicación de la </w:t>
            </w:r>
            <w:r w:rsidR="00126DAB">
              <w:rPr>
                <w:rFonts w:asciiTheme="majorHAnsi" w:eastAsia="Arial Unicode MS" w:hAnsiTheme="majorHAnsi" w:cstheme="majorHAnsi"/>
                <w:bCs/>
                <w:color w:val="auto"/>
                <w:lang w:val="es-BO"/>
              </w:rPr>
              <w:t xml:space="preserve">guía validada y la </w:t>
            </w:r>
            <w:r>
              <w:rPr>
                <w:rFonts w:asciiTheme="majorHAnsi" w:eastAsia="Arial Unicode MS" w:hAnsiTheme="majorHAnsi" w:cstheme="majorHAnsi"/>
                <w:bCs/>
                <w:color w:val="auto"/>
                <w:lang w:val="es-BO"/>
              </w:rPr>
              <w:t>metodología de estimación de presupuestos</w:t>
            </w:r>
          </w:p>
          <w:p w14:paraId="0B192CFC" w14:textId="77777777" w:rsidR="009D2001" w:rsidRPr="009E3F3B" w:rsidRDefault="009D2001" w:rsidP="009D2001">
            <w:pPr>
              <w:spacing w:line="240" w:lineRule="auto"/>
              <w:rPr>
                <w:rFonts w:asciiTheme="majorHAnsi" w:eastAsia="Arial Unicode MS" w:hAnsiTheme="majorHAnsi" w:cstheme="majorHAnsi"/>
                <w:b/>
                <w:color w:val="auto"/>
                <w:lang w:val="es-BO"/>
              </w:rPr>
            </w:pPr>
          </w:p>
        </w:tc>
        <w:tc>
          <w:tcPr>
            <w:tcW w:w="5131" w:type="dxa"/>
            <w:gridSpan w:val="2"/>
            <w:shd w:val="clear" w:color="auto" w:fill="FFFFFF" w:themeFill="background1"/>
          </w:tcPr>
          <w:p w14:paraId="0FEF0E87" w14:textId="291D0F65" w:rsidR="009D2001" w:rsidRDefault="009D2001" w:rsidP="009D2001">
            <w:pPr>
              <w:pStyle w:val="ListParagraph"/>
              <w:numPr>
                <w:ilvl w:val="0"/>
                <w:numId w:val="39"/>
              </w:numPr>
              <w:spacing w:line="240" w:lineRule="auto"/>
              <w:ind w:left="179" w:hanging="179"/>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Apoyo individualizado a los GAM</w:t>
            </w:r>
            <w:r w:rsidR="00126DAB">
              <w:rPr>
                <w:rFonts w:asciiTheme="majorHAnsi" w:eastAsia="Arial Unicode MS" w:hAnsiTheme="majorHAnsi" w:cstheme="majorHAnsi"/>
                <w:bCs/>
                <w:color w:val="auto"/>
                <w:lang w:val="es-BO"/>
              </w:rPr>
              <w:t>, a través de r</w:t>
            </w:r>
            <w:r>
              <w:rPr>
                <w:rFonts w:asciiTheme="majorHAnsi" w:eastAsia="Arial Unicode MS" w:hAnsiTheme="majorHAnsi" w:cstheme="majorHAnsi"/>
                <w:bCs/>
                <w:color w:val="auto"/>
                <w:lang w:val="es-BO"/>
              </w:rPr>
              <w:t xml:space="preserve">euniones </w:t>
            </w:r>
            <w:r w:rsidR="008F4E97">
              <w:rPr>
                <w:rFonts w:asciiTheme="majorHAnsi" w:eastAsia="Arial Unicode MS" w:hAnsiTheme="majorHAnsi" w:cstheme="majorHAnsi"/>
                <w:bCs/>
                <w:color w:val="auto"/>
                <w:lang w:val="es-BO"/>
              </w:rPr>
              <w:t>técnicas</w:t>
            </w:r>
            <w:r w:rsidR="00D5765E">
              <w:rPr>
                <w:rFonts w:asciiTheme="majorHAnsi" w:eastAsia="Arial Unicode MS" w:hAnsiTheme="majorHAnsi" w:cstheme="majorHAnsi"/>
                <w:bCs/>
                <w:color w:val="auto"/>
                <w:lang w:val="es-BO"/>
              </w:rPr>
              <w:t xml:space="preserve"> </w:t>
            </w:r>
            <w:r>
              <w:rPr>
                <w:rFonts w:asciiTheme="majorHAnsi" w:eastAsia="Arial Unicode MS" w:hAnsiTheme="majorHAnsi" w:cstheme="majorHAnsi"/>
                <w:bCs/>
                <w:color w:val="auto"/>
                <w:lang w:val="es-BO"/>
              </w:rPr>
              <w:t xml:space="preserve">de </w:t>
            </w:r>
            <w:r w:rsidR="00D5765E">
              <w:rPr>
                <w:rFonts w:asciiTheme="majorHAnsi" w:eastAsia="Arial Unicode MS" w:hAnsiTheme="majorHAnsi" w:cstheme="majorHAnsi"/>
                <w:bCs/>
                <w:color w:val="auto"/>
                <w:lang w:val="es-BO"/>
              </w:rPr>
              <w:t>planificación a</w:t>
            </w:r>
            <w:r>
              <w:rPr>
                <w:rFonts w:asciiTheme="majorHAnsi" w:eastAsia="Arial Unicode MS" w:hAnsiTheme="majorHAnsi" w:cstheme="majorHAnsi"/>
                <w:bCs/>
                <w:color w:val="auto"/>
                <w:lang w:val="es-BO"/>
              </w:rPr>
              <w:t xml:space="preserve"> los servidores públicos</w:t>
            </w:r>
            <w:r w:rsidR="00D5765E">
              <w:rPr>
                <w:rFonts w:asciiTheme="majorHAnsi" w:eastAsia="Arial Unicode MS" w:hAnsiTheme="majorHAnsi" w:cstheme="majorHAnsi"/>
                <w:bCs/>
                <w:color w:val="auto"/>
                <w:lang w:val="es-BO"/>
              </w:rPr>
              <w:t xml:space="preserve"> </w:t>
            </w:r>
            <w:r w:rsidR="008F4E97">
              <w:rPr>
                <w:rFonts w:asciiTheme="majorHAnsi" w:eastAsia="Arial Unicode MS" w:hAnsiTheme="majorHAnsi" w:cstheme="majorHAnsi"/>
                <w:bCs/>
                <w:color w:val="auto"/>
                <w:lang w:val="es-BO"/>
              </w:rPr>
              <w:t>involucrados</w:t>
            </w:r>
            <w:r>
              <w:rPr>
                <w:rFonts w:asciiTheme="majorHAnsi" w:eastAsia="Arial Unicode MS" w:hAnsiTheme="majorHAnsi" w:cstheme="majorHAnsi"/>
                <w:bCs/>
                <w:color w:val="auto"/>
                <w:lang w:val="es-BO"/>
              </w:rPr>
              <w:t>, para la elaboración de su Plan Operativo Anual (POA), asegurando la inclusión de acciones y presupuestos para DSSDR y VSG en el POA 2026</w:t>
            </w:r>
          </w:p>
          <w:p w14:paraId="1D769D07" w14:textId="5B13C03B" w:rsidR="009D2001" w:rsidRPr="009E3F3B" w:rsidRDefault="009D2001" w:rsidP="009D2001">
            <w:pPr>
              <w:spacing w:line="240" w:lineRule="auto"/>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
                <w:i/>
                <w:iCs/>
                <w:color w:val="auto"/>
                <w:lang w:val="es-BO"/>
              </w:rPr>
              <w:t>Objetivo:</w:t>
            </w:r>
            <w:r w:rsidRPr="009E3F3B">
              <w:rPr>
                <w:rFonts w:asciiTheme="majorHAnsi" w:eastAsia="Arial Unicode MS" w:hAnsiTheme="majorHAnsi" w:cstheme="majorHAnsi"/>
                <w:bCs/>
                <w:color w:val="auto"/>
                <w:lang w:val="es-BO"/>
              </w:rPr>
              <w:t xml:space="preserve"> </w:t>
            </w:r>
            <w:r w:rsidRPr="003D795D">
              <w:rPr>
                <w:rFonts w:asciiTheme="majorHAnsi" w:eastAsia="Arial Unicode MS" w:hAnsiTheme="majorHAnsi" w:cstheme="majorHAnsi"/>
                <w:bCs/>
                <w:color w:val="auto"/>
                <w:lang w:val="es-BO"/>
              </w:rPr>
              <w:t>Asistir técnicamente a los servidores públicos</w:t>
            </w:r>
            <w:r w:rsidR="008F4E97">
              <w:rPr>
                <w:rFonts w:asciiTheme="majorHAnsi" w:eastAsia="Arial Unicode MS" w:hAnsiTheme="majorHAnsi" w:cstheme="majorHAnsi"/>
                <w:bCs/>
                <w:color w:val="auto"/>
                <w:lang w:val="es-BO"/>
              </w:rPr>
              <w:t xml:space="preserve"> involucrados en</w:t>
            </w:r>
            <w:r>
              <w:rPr>
                <w:rFonts w:asciiTheme="majorHAnsi" w:eastAsia="Arial Unicode MS" w:hAnsiTheme="majorHAnsi" w:cstheme="majorHAnsi"/>
                <w:bCs/>
                <w:color w:val="auto"/>
                <w:lang w:val="es-BO"/>
              </w:rPr>
              <w:t xml:space="preserve"> los</w:t>
            </w:r>
            <w:r w:rsidRPr="004B5273">
              <w:rPr>
                <w:rFonts w:asciiTheme="majorHAnsi" w:eastAsia="Arial Unicode MS" w:hAnsiTheme="majorHAnsi" w:cstheme="majorHAnsi"/>
                <w:bCs/>
                <w:color w:val="auto"/>
                <w:lang w:val="es-BO"/>
              </w:rPr>
              <w:t xml:space="preserve"> </w:t>
            </w:r>
            <w:r w:rsidR="008F4E97">
              <w:rPr>
                <w:rFonts w:asciiTheme="majorHAnsi" w:eastAsia="Arial Unicode MS" w:hAnsiTheme="majorHAnsi" w:cstheme="majorHAnsi"/>
                <w:bCs/>
                <w:color w:val="auto"/>
                <w:lang w:val="es-BO"/>
              </w:rPr>
              <w:t xml:space="preserve">Municipios </w:t>
            </w:r>
            <w:r w:rsidRPr="004B5273">
              <w:rPr>
                <w:rFonts w:asciiTheme="majorHAnsi" w:eastAsia="Arial Unicode MS" w:hAnsiTheme="majorHAnsi" w:cstheme="majorHAnsi"/>
                <w:bCs/>
                <w:color w:val="auto"/>
                <w:lang w:val="es-BO"/>
              </w:rPr>
              <w:t>de El Alto, Trinidad y Cobija</w:t>
            </w:r>
            <w:r>
              <w:rPr>
                <w:rFonts w:asciiTheme="majorHAnsi" w:eastAsia="Arial Unicode MS" w:hAnsiTheme="majorHAnsi" w:cstheme="majorHAnsi"/>
                <w:bCs/>
                <w:color w:val="auto"/>
                <w:lang w:val="es-BO"/>
              </w:rPr>
              <w:t>, para la presentación del POA 2026 alineado a las prioridades de DSSDR y VSG.</w:t>
            </w:r>
          </w:p>
          <w:p w14:paraId="6E2D1622" w14:textId="2F66D3A0" w:rsidR="009D2001" w:rsidRPr="007109E2" w:rsidRDefault="009D2001" w:rsidP="009D2001">
            <w:pPr>
              <w:tabs>
                <w:tab w:val="left" w:pos="1483"/>
              </w:tabs>
              <w:spacing w:line="240" w:lineRule="auto"/>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
                <w:i/>
                <w:iCs/>
                <w:color w:val="auto"/>
                <w:lang w:val="es-BO"/>
              </w:rPr>
              <w:t>Entregables:</w:t>
            </w:r>
            <w:r>
              <w:rPr>
                <w:rFonts w:asciiTheme="majorHAnsi" w:eastAsia="Arial Unicode MS" w:hAnsiTheme="majorHAnsi" w:cstheme="majorHAnsi"/>
                <w:b/>
                <w:i/>
                <w:iCs/>
                <w:color w:val="auto"/>
                <w:lang w:val="es-BO"/>
              </w:rPr>
              <w:t xml:space="preserve"> </w:t>
            </w:r>
            <w:r w:rsidR="008F4E97">
              <w:rPr>
                <w:rFonts w:asciiTheme="majorHAnsi" w:eastAsia="Arial Unicode MS" w:hAnsiTheme="majorHAnsi" w:cstheme="majorHAnsi"/>
                <w:bCs/>
                <w:color w:val="auto"/>
                <w:lang w:val="es-BO"/>
              </w:rPr>
              <w:t>Informe</w:t>
            </w:r>
            <w:r w:rsidR="008F4E97" w:rsidRPr="007109E2">
              <w:rPr>
                <w:rFonts w:asciiTheme="majorHAnsi" w:eastAsia="Arial Unicode MS" w:hAnsiTheme="majorHAnsi" w:cstheme="majorHAnsi"/>
                <w:bCs/>
                <w:color w:val="auto"/>
                <w:lang w:val="es-BO"/>
              </w:rPr>
              <w:t xml:space="preserve"> </w:t>
            </w:r>
            <w:r w:rsidR="00AD5057">
              <w:rPr>
                <w:rFonts w:asciiTheme="majorHAnsi" w:eastAsia="Arial Unicode MS" w:hAnsiTheme="majorHAnsi" w:cstheme="majorHAnsi"/>
                <w:bCs/>
                <w:color w:val="auto"/>
                <w:lang w:val="es-BO"/>
              </w:rPr>
              <w:t>de las</w:t>
            </w:r>
            <w:r w:rsidR="00EC715D">
              <w:rPr>
                <w:rFonts w:asciiTheme="majorHAnsi" w:eastAsia="Arial Unicode MS" w:hAnsiTheme="majorHAnsi" w:cstheme="majorHAnsi"/>
                <w:bCs/>
                <w:color w:val="auto"/>
                <w:lang w:val="es-BO"/>
              </w:rPr>
              <w:t xml:space="preserve"> </w:t>
            </w:r>
            <w:r w:rsidR="00AD5057">
              <w:rPr>
                <w:rFonts w:asciiTheme="majorHAnsi" w:eastAsia="Arial Unicode MS" w:hAnsiTheme="majorHAnsi" w:cstheme="majorHAnsi"/>
                <w:bCs/>
                <w:color w:val="auto"/>
                <w:lang w:val="es-BO"/>
              </w:rPr>
              <w:t>r</w:t>
            </w:r>
            <w:r w:rsidR="00EC715D">
              <w:rPr>
                <w:rFonts w:asciiTheme="majorHAnsi" w:eastAsia="Arial Unicode MS" w:hAnsiTheme="majorHAnsi" w:cstheme="majorHAnsi"/>
                <w:bCs/>
                <w:color w:val="auto"/>
                <w:lang w:val="es-BO"/>
              </w:rPr>
              <w:t>euniones técnicas</w:t>
            </w:r>
            <w:r w:rsidR="00AD5057">
              <w:rPr>
                <w:rFonts w:asciiTheme="majorHAnsi" w:eastAsia="Arial Unicode MS" w:hAnsiTheme="majorHAnsi" w:cstheme="majorHAnsi"/>
                <w:bCs/>
                <w:color w:val="auto"/>
                <w:lang w:val="es-BO"/>
              </w:rPr>
              <w:t xml:space="preserve"> (listas de participantes, fotografías)</w:t>
            </w:r>
            <w:r w:rsidR="00EC715D">
              <w:rPr>
                <w:rFonts w:asciiTheme="majorHAnsi" w:eastAsia="Arial Unicode MS" w:hAnsiTheme="majorHAnsi" w:cstheme="majorHAnsi"/>
                <w:bCs/>
                <w:color w:val="auto"/>
                <w:lang w:val="es-BO"/>
              </w:rPr>
              <w:t>,</w:t>
            </w:r>
            <w:r w:rsidR="00AD5057">
              <w:rPr>
                <w:rFonts w:asciiTheme="majorHAnsi" w:eastAsia="Arial Unicode MS" w:hAnsiTheme="majorHAnsi" w:cstheme="majorHAnsi"/>
                <w:bCs/>
                <w:color w:val="auto"/>
                <w:lang w:val="es-BO"/>
              </w:rPr>
              <w:t xml:space="preserve"> incluyendo</w:t>
            </w:r>
            <w:r w:rsidRPr="007109E2">
              <w:rPr>
                <w:rFonts w:asciiTheme="majorHAnsi" w:eastAsia="Arial Unicode MS" w:hAnsiTheme="majorHAnsi" w:cstheme="majorHAnsi"/>
                <w:bCs/>
                <w:color w:val="auto"/>
                <w:lang w:val="es-BO"/>
              </w:rPr>
              <w:t xml:space="preserve"> </w:t>
            </w:r>
            <w:r w:rsidR="00EC715D">
              <w:rPr>
                <w:rFonts w:asciiTheme="majorHAnsi" w:eastAsia="Arial Unicode MS" w:hAnsiTheme="majorHAnsi" w:cstheme="majorHAnsi"/>
                <w:bCs/>
                <w:color w:val="auto"/>
                <w:lang w:val="es-BO"/>
              </w:rPr>
              <w:t xml:space="preserve">borradores de </w:t>
            </w:r>
            <w:r w:rsidRPr="007109E2">
              <w:rPr>
                <w:rFonts w:asciiTheme="majorHAnsi" w:eastAsia="Arial Unicode MS" w:hAnsiTheme="majorHAnsi" w:cstheme="majorHAnsi"/>
                <w:bCs/>
                <w:color w:val="auto"/>
                <w:lang w:val="es-BO"/>
              </w:rPr>
              <w:t>las memorias de cálculo</w:t>
            </w:r>
            <w:r>
              <w:rPr>
                <w:rFonts w:asciiTheme="majorHAnsi" w:eastAsia="Arial Unicode MS" w:hAnsiTheme="majorHAnsi" w:cstheme="majorHAnsi"/>
                <w:bCs/>
                <w:color w:val="auto"/>
                <w:lang w:val="es-BO"/>
              </w:rPr>
              <w:t xml:space="preserve"> (firmadas y aprobadas), así como los </w:t>
            </w:r>
            <w:r w:rsidRPr="007109E2">
              <w:rPr>
                <w:rFonts w:asciiTheme="majorHAnsi" w:eastAsia="Arial Unicode MS" w:hAnsiTheme="majorHAnsi" w:cstheme="majorHAnsi"/>
                <w:bCs/>
                <w:color w:val="auto"/>
                <w:lang w:val="es-BO"/>
              </w:rPr>
              <w:t>reportes SIGEP</w:t>
            </w:r>
            <w:r w:rsidR="00EC715D">
              <w:rPr>
                <w:rFonts w:asciiTheme="majorHAnsi" w:eastAsia="Arial Unicode MS" w:hAnsiTheme="majorHAnsi" w:cstheme="majorHAnsi"/>
                <w:bCs/>
                <w:color w:val="auto"/>
                <w:lang w:val="es-BO"/>
              </w:rPr>
              <w:t xml:space="preserve"> (presentado)</w:t>
            </w:r>
            <w:r w:rsidRPr="007109E2">
              <w:rPr>
                <w:rFonts w:asciiTheme="majorHAnsi" w:eastAsia="Arial Unicode MS" w:hAnsiTheme="majorHAnsi" w:cstheme="majorHAnsi"/>
                <w:bCs/>
                <w:color w:val="auto"/>
                <w:lang w:val="es-BO"/>
              </w:rPr>
              <w:t xml:space="preserve"> de los GAM de El Alto, Trinidad y Cobija</w:t>
            </w:r>
            <w:r>
              <w:rPr>
                <w:rFonts w:asciiTheme="majorHAnsi" w:eastAsia="Arial Unicode MS" w:hAnsiTheme="majorHAnsi" w:cstheme="majorHAnsi"/>
                <w:bCs/>
                <w:color w:val="auto"/>
                <w:lang w:val="es-BO"/>
              </w:rPr>
              <w:t xml:space="preserve"> que visibilicen los recursos asignados a DSSDR y VSG.</w:t>
            </w:r>
          </w:p>
        </w:tc>
        <w:tc>
          <w:tcPr>
            <w:tcW w:w="1778" w:type="dxa"/>
            <w:shd w:val="clear" w:color="auto" w:fill="FFFFFF" w:themeFill="background1"/>
            <w:vAlign w:val="center"/>
          </w:tcPr>
          <w:p w14:paraId="52B6FA88" w14:textId="3DD5CA2D" w:rsidR="009D2001" w:rsidRPr="009E3F3B" w:rsidRDefault="00C35F8A" w:rsidP="009D2001">
            <w:pPr>
              <w:spacing w:line="240" w:lineRule="auto"/>
              <w:jc w:val="center"/>
              <w:rPr>
                <w:rFonts w:asciiTheme="majorHAnsi" w:eastAsia="Arial Unicode MS" w:hAnsiTheme="majorHAnsi" w:cstheme="majorHAnsi"/>
                <w:b/>
                <w:color w:val="auto"/>
                <w:lang w:val="es-BO"/>
              </w:rPr>
            </w:pPr>
            <w:r w:rsidRPr="00C35F8A">
              <w:rPr>
                <w:rFonts w:asciiTheme="majorHAnsi" w:eastAsia="Arial Unicode MS" w:hAnsiTheme="majorHAnsi" w:cstheme="majorHAnsi"/>
                <w:bCs/>
                <w:color w:val="000000" w:themeColor="text1"/>
                <w:lang w:val="es-BO"/>
              </w:rPr>
              <w:t>196</w:t>
            </w:r>
            <w:r w:rsidR="009D2001" w:rsidRPr="00C35F8A">
              <w:rPr>
                <w:rFonts w:asciiTheme="majorHAnsi" w:eastAsia="Arial Unicode MS" w:hAnsiTheme="majorHAnsi" w:cstheme="majorHAnsi"/>
                <w:bCs/>
                <w:color w:val="000000" w:themeColor="text1"/>
                <w:lang w:val="es-BO"/>
              </w:rPr>
              <w:t xml:space="preserve"> días después de firmado </w:t>
            </w:r>
            <w:r w:rsidR="009D2001" w:rsidRPr="009E3F3B">
              <w:rPr>
                <w:rFonts w:asciiTheme="majorHAnsi" w:eastAsia="Arial Unicode MS" w:hAnsiTheme="majorHAnsi" w:cstheme="majorHAnsi"/>
                <w:bCs/>
                <w:color w:val="auto"/>
                <w:lang w:val="es-BO"/>
              </w:rPr>
              <w:t>el contrato</w:t>
            </w:r>
          </w:p>
        </w:tc>
        <w:tc>
          <w:tcPr>
            <w:tcW w:w="990" w:type="dxa"/>
            <w:shd w:val="clear" w:color="auto" w:fill="FFFFFF" w:themeFill="background1"/>
            <w:vAlign w:val="center"/>
          </w:tcPr>
          <w:p w14:paraId="50B607B3" w14:textId="0ED98955" w:rsidR="009D2001" w:rsidRPr="00E55969" w:rsidRDefault="00FE6ED9" w:rsidP="009D2001">
            <w:pPr>
              <w:spacing w:line="240" w:lineRule="auto"/>
              <w:jc w:val="center"/>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24%</w:t>
            </w:r>
          </w:p>
        </w:tc>
      </w:tr>
      <w:tr w:rsidR="009D2001" w:rsidRPr="00103826" w14:paraId="593106AD" w14:textId="77777777" w:rsidTr="00103826">
        <w:trPr>
          <w:cantSplit/>
        </w:trPr>
        <w:tc>
          <w:tcPr>
            <w:tcW w:w="10149" w:type="dxa"/>
            <w:gridSpan w:val="7"/>
            <w:shd w:val="clear" w:color="auto" w:fill="FFFFFF" w:themeFill="background1"/>
            <w:vAlign w:val="center"/>
          </w:tcPr>
          <w:p w14:paraId="7E95F04F" w14:textId="14C331B1" w:rsidR="00D5765E" w:rsidRPr="00EF292B" w:rsidRDefault="009D2001" w:rsidP="00103826">
            <w:pPr>
              <w:spacing w:line="240" w:lineRule="auto"/>
              <w:rPr>
                <w:rFonts w:asciiTheme="majorHAnsi" w:eastAsia="Arial Unicode MS" w:hAnsiTheme="majorHAnsi" w:cstheme="majorHAnsi"/>
                <w:bCs/>
                <w:color w:val="auto"/>
                <w:lang w:val="es-BO"/>
              </w:rPr>
            </w:pPr>
            <w:r w:rsidRPr="00280610">
              <w:rPr>
                <w:rFonts w:asciiTheme="majorHAnsi" w:eastAsia="Arial Unicode MS" w:hAnsiTheme="majorHAnsi" w:cstheme="majorHAnsi"/>
                <w:b/>
                <w:i/>
                <w:iCs/>
                <w:color w:val="auto"/>
                <w:lang w:val="es-BO"/>
              </w:rPr>
              <w:t>Nota:</w:t>
            </w:r>
            <w:r w:rsidRPr="00280610">
              <w:rPr>
                <w:rFonts w:asciiTheme="majorHAnsi" w:eastAsia="Arial Unicode MS" w:hAnsiTheme="majorHAnsi" w:cstheme="majorHAnsi"/>
                <w:bCs/>
                <w:i/>
                <w:iCs/>
                <w:color w:val="auto"/>
                <w:lang w:val="es-BO"/>
              </w:rPr>
              <w:t xml:space="preserve"> Se mantendrá una coordinación e intercambio técnico permanente con el equipo de UNICEF, para asegurar la calidad y pertinencia de los productos entregados</w:t>
            </w:r>
            <w:r w:rsidRPr="00280610">
              <w:rPr>
                <w:rFonts w:asciiTheme="majorHAnsi" w:eastAsia="Arial Unicode MS" w:hAnsiTheme="majorHAnsi" w:cstheme="majorHAnsi"/>
                <w:bCs/>
                <w:color w:val="auto"/>
                <w:lang w:val="es-BO"/>
              </w:rPr>
              <w:t>.</w:t>
            </w:r>
          </w:p>
        </w:tc>
      </w:tr>
    </w:tbl>
    <w:p w14:paraId="7C17507E" w14:textId="77777777" w:rsidR="00103826" w:rsidRDefault="00103826" w:rsidP="00103826">
      <w:pPr>
        <w:pStyle w:val="ListParagraph"/>
        <w:rPr>
          <w:rFonts w:asciiTheme="majorHAnsi" w:eastAsia="Arial Unicode MS" w:hAnsiTheme="majorHAnsi" w:cstheme="majorHAnsi"/>
          <w:b/>
          <w:color w:val="auto"/>
          <w:lang w:val="es-419"/>
        </w:rPr>
      </w:pPr>
    </w:p>
    <w:tbl>
      <w:tblPr>
        <w:tblStyle w:val="TableGrid"/>
        <w:tblpPr w:leftFromText="180" w:rightFromText="180" w:vertAnchor="text" w:horzAnchor="margin" w:tblpXSpec="center" w:tblpY="397"/>
        <w:tblW w:w="0" w:type="auto"/>
        <w:tblLook w:val="04A0" w:firstRow="1" w:lastRow="0" w:firstColumn="1" w:lastColumn="0" w:noHBand="0" w:noVBand="1"/>
      </w:tblPr>
      <w:tblGrid>
        <w:gridCol w:w="2695"/>
        <w:gridCol w:w="2430"/>
        <w:gridCol w:w="2700"/>
      </w:tblGrid>
      <w:tr w:rsidR="00103826" w:rsidRPr="00103826" w14:paraId="60230230" w14:textId="77777777" w:rsidTr="00FE6ED9">
        <w:trPr>
          <w:trHeight w:val="485"/>
        </w:trPr>
        <w:tc>
          <w:tcPr>
            <w:tcW w:w="2695" w:type="dxa"/>
            <w:shd w:val="clear" w:color="auto" w:fill="BFBFBF" w:themeFill="background1" w:themeFillShade="BF"/>
            <w:vAlign w:val="center"/>
          </w:tcPr>
          <w:p w14:paraId="79FCE6BE" w14:textId="77777777" w:rsidR="00103826" w:rsidRPr="00931ABC" w:rsidRDefault="00103826" w:rsidP="00103826">
            <w:pPr>
              <w:jc w:val="center"/>
              <w:rPr>
                <w:rFonts w:asciiTheme="majorHAnsi" w:eastAsia="Arial Unicode MS" w:hAnsiTheme="majorHAnsi" w:cstheme="majorHAnsi"/>
                <w:b/>
                <w:color w:val="auto"/>
                <w:lang w:val="es-BO"/>
              </w:rPr>
            </w:pPr>
            <w:r w:rsidRPr="00931ABC">
              <w:rPr>
                <w:rFonts w:asciiTheme="majorHAnsi" w:eastAsia="Arial Unicode MS" w:hAnsiTheme="majorHAnsi" w:cstheme="majorHAnsi"/>
                <w:b/>
                <w:color w:val="auto"/>
                <w:lang w:val="es-BO"/>
              </w:rPr>
              <w:t>Lugar de Destino</w:t>
            </w:r>
          </w:p>
        </w:tc>
        <w:tc>
          <w:tcPr>
            <w:tcW w:w="2430" w:type="dxa"/>
            <w:shd w:val="clear" w:color="auto" w:fill="BFBFBF" w:themeFill="background1" w:themeFillShade="BF"/>
            <w:vAlign w:val="center"/>
          </w:tcPr>
          <w:p w14:paraId="762CF3AB" w14:textId="1C284E4A" w:rsidR="00103826" w:rsidRPr="00931ABC" w:rsidRDefault="00103826" w:rsidP="00103826">
            <w:pPr>
              <w:jc w:val="center"/>
              <w:rPr>
                <w:rFonts w:asciiTheme="majorHAnsi" w:eastAsia="Arial Unicode MS" w:hAnsiTheme="majorHAnsi" w:cstheme="majorHAnsi"/>
                <w:b/>
                <w:color w:val="auto"/>
                <w:lang w:val="es-BO"/>
              </w:rPr>
            </w:pPr>
            <w:r w:rsidRPr="00931ABC">
              <w:rPr>
                <w:rFonts w:asciiTheme="majorHAnsi" w:eastAsia="Arial Unicode MS" w:hAnsiTheme="majorHAnsi" w:cstheme="majorHAnsi"/>
                <w:b/>
                <w:color w:val="auto"/>
                <w:lang w:val="es-BO"/>
              </w:rPr>
              <w:t>Duración [días]</w:t>
            </w:r>
            <w:r w:rsidR="00FE6ED9">
              <w:rPr>
                <w:rFonts w:asciiTheme="majorHAnsi" w:eastAsia="Arial Unicode MS" w:hAnsiTheme="majorHAnsi" w:cstheme="majorHAnsi"/>
                <w:b/>
                <w:color w:val="auto"/>
                <w:lang w:val="es-BO"/>
              </w:rPr>
              <w:t xml:space="preserve"> por viaje</w:t>
            </w:r>
          </w:p>
        </w:tc>
        <w:tc>
          <w:tcPr>
            <w:tcW w:w="2700" w:type="dxa"/>
            <w:shd w:val="clear" w:color="auto" w:fill="BFBFBF" w:themeFill="background1" w:themeFillShade="BF"/>
            <w:vAlign w:val="center"/>
          </w:tcPr>
          <w:p w14:paraId="358CCFA6" w14:textId="77777777" w:rsidR="00103826" w:rsidRPr="00931ABC" w:rsidRDefault="00103826" w:rsidP="00103826">
            <w:pPr>
              <w:jc w:val="center"/>
              <w:rPr>
                <w:rFonts w:asciiTheme="majorHAnsi" w:eastAsia="Arial Unicode MS" w:hAnsiTheme="majorHAnsi" w:cstheme="majorHAnsi"/>
                <w:b/>
                <w:color w:val="auto"/>
                <w:lang w:val="es-BO"/>
              </w:rPr>
            </w:pPr>
            <w:r w:rsidRPr="00931ABC">
              <w:rPr>
                <w:rFonts w:asciiTheme="majorHAnsi" w:eastAsia="Arial Unicode MS" w:hAnsiTheme="majorHAnsi" w:cstheme="majorHAnsi"/>
                <w:b/>
                <w:color w:val="auto"/>
                <w:lang w:val="es-BO"/>
              </w:rPr>
              <w:t>Cantidad de veces de viaje a ese destino</w:t>
            </w:r>
          </w:p>
        </w:tc>
      </w:tr>
      <w:tr w:rsidR="00103826" w:rsidRPr="00C561C0" w14:paraId="4782A99D" w14:textId="77777777" w:rsidTr="00FE6ED9">
        <w:trPr>
          <w:trHeight w:val="377"/>
        </w:trPr>
        <w:tc>
          <w:tcPr>
            <w:tcW w:w="2695" w:type="dxa"/>
          </w:tcPr>
          <w:p w14:paraId="3A17C5E0" w14:textId="77777777" w:rsidR="00103826" w:rsidRPr="006622F4" w:rsidRDefault="00103826" w:rsidP="00103826">
            <w:pPr>
              <w:jc w:val="both"/>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Cobija</w:t>
            </w:r>
          </w:p>
        </w:tc>
        <w:tc>
          <w:tcPr>
            <w:tcW w:w="2430" w:type="dxa"/>
          </w:tcPr>
          <w:p w14:paraId="3D0F056E" w14:textId="77777777" w:rsidR="00103826" w:rsidRPr="006622F4" w:rsidRDefault="00103826" w:rsidP="00103826">
            <w:pPr>
              <w:jc w:val="center"/>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3</w:t>
            </w:r>
          </w:p>
        </w:tc>
        <w:tc>
          <w:tcPr>
            <w:tcW w:w="2700" w:type="dxa"/>
          </w:tcPr>
          <w:p w14:paraId="04502BC0" w14:textId="77777777" w:rsidR="00103826" w:rsidRPr="006622F4" w:rsidRDefault="00103826" w:rsidP="00103826">
            <w:pPr>
              <w:jc w:val="center"/>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5</w:t>
            </w:r>
          </w:p>
        </w:tc>
      </w:tr>
      <w:tr w:rsidR="00103826" w:rsidRPr="00C561C0" w14:paraId="744D9E09" w14:textId="77777777" w:rsidTr="00FE6ED9">
        <w:trPr>
          <w:trHeight w:val="350"/>
        </w:trPr>
        <w:tc>
          <w:tcPr>
            <w:tcW w:w="2695" w:type="dxa"/>
          </w:tcPr>
          <w:p w14:paraId="7AB1D2FC" w14:textId="77777777" w:rsidR="00103826" w:rsidRPr="006622F4" w:rsidRDefault="00103826" w:rsidP="00103826">
            <w:pPr>
              <w:jc w:val="both"/>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Trinidad</w:t>
            </w:r>
          </w:p>
        </w:tc>
        <w:tc>
          <w:tcPr>
            <w:tcW w:w="2430" w:type="dxa"/>
          </w:tcPr>
          <w:p w14:paraId="12F7FD6B" w14:textId="77777777" w:rsidR="00103826" w:rsidRPr="006622F4" w:rsidRDefault="00103826" w:rsidP="00103826">
            <w:pPr>
              <w:jc w:val="center"/>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3</w:t>
            </w:r>
          </w:p>
        </w:tc>
        <w:tc>
          <w:tcPr>
            <w:tcW w:w="2700" w:type="dxa"/>
          </w:tcPr>
          <w:p w14:paraId="4EC1ACB0" w14:textId="77777777" w:rsidR="00103826" w:rsidRPr="006622F4" w:rsidRDefault="00103826" w:rsidP="00103826">
            <w:pPr>
              <w:jc w:val="center"/>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5</w:t>
            </w:r>
          </w:p>
        </w:tc>
      </w:tr>
    </w:tbl>
    <w:p w14:paraId="6A2754E7" w14:textId="159479F4" w:rsidR="00761B2E" w:rsidRPr="00931ABC" w:rsidRDefault="00761B2E" w:rsidP="00363CA2">
      <w:pPr>
        <w:pStyle w:val="ListParagraph"/>
        <w:numPr>
          <w:ilvl w:val="0"/>
          <w:numId w:val="28"/>
        </w:numPr>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VIAJES</w:t>
      </w:r>
      <w:r w:rsidR="0048341F" w:rsidRPr="00931ABC">
        <w:rPr>
          <w:rFonts w:asciiTheme="majorHAnsi" w:eastAsia="Arial Unicode MS" w:hAnsiTheme="majorHAnsi" w:cstheme="majorHAnsi"/>
          <w:b/>
          <w:color w:val="auto"/>
          <w:lang w:val="es-419"/>
        </w:rPr>
        <w:t xml:space="preserve"> REQUERIDOS EN LA CONSULTORÍA</w:t>
      </w:r>
      <w:r w:rsidRPr="00931ABC">
        <w:rPr>
          <w:rFonts w:asciiTheme="majorHAnsi" w:eastAsia="Arial Unicode MS" w:hAnsiTheme="majorHAnsi" w:cstheme="majorHAnsi"/>
          <w:b/>
          <w:color w:val="auto"/>
          <w:lang w:val="es-419"/>
        </w:rPr>
        <w:t>:</w:t>
      </w:r>
    </w:p>
    <w:p w14:paraId="192154D6" w14:textId="67F98098" w:rsidR="00761B2E" w:rsidRPr="00931ABC" w:rsidRDefault="00761B2E" w:rsidP="00761B2E">
      <w:pPr>
        <w:ind w:left="113"/>
        <w:jc w:val="center"/>
        <w:rPr>
          <w:rFonts w:asciiTheme="majorHAnsi" w:eastAsia="Arial Unicode MS" w:hAnsiTheme="majorHAnsi" w:cstheme="majorHAnsi"/>
          <w:b/>
          <w:color w:val="BB15AF"/>
          <w:lang w:val="es-419"/>
        </w:rPr>
      </w:pPr>
    </w:p>
    <w:p w14:paraId="7384C260" w14:textId="6899EB23" w:rsidR="00CC7F4F" w:rsidRDefault="00CC7F4F" w:rsidP="00CC7F4F">
      <w:pPr>
        <w:rPr>
          <w:rFonts w:asciiTheme="majorHAnsi" w:eastAsia="Arial Unicode MS" w:hAnsiTheme="majorHAnsi" w:cstheme="majorHAnsi"/>
          <w:b/>
          <w:color w:val="auto"/>
          <w:lang w:val="es-419"/>
        </w:rPr>
      </w:pPr>
    </w:p>
    <w:p w14:paraId="0DF0FC22" w14:textId="77777777" w:rsidR="00CC7F4F" w:rsidRDefault="00CC7F4F" w:rsidP="0048341F">
      <w:pPr>
        <w:ind w:left="113"/>
        <w:rPr>
          <w:rFonts w:asciiTheme="majorHAnsi" w:eastAsia="Arial Unicode MS" w:hAnsiTheme="majorHAnsi" w:cstheme="majorHAnsi"/>
          <w:bCs/>
          <w:color w:val="auto"/>
          <w:lang w:val="es-419"/>
        </w:rPr>
      </w:pPr>
    </w:p>
    <w:p w14:paraId="6B211606" w14:textId="77777777" w:rsidR="00FE6ED9" w:rsidRDefault="00FE6ED9" w:rsidP="0048341F">
      <w:pPr>
        <w:ind w:left="113"/>
        <w:rPr>
          <w:rFonts w:asciiTheme="majorHAnsi" w:eastAsia="Arial Unicode MS" w:hAnsiTheme="majorHAnsi" w:cstheme="majorHAnsi"/>
          <w:bCs/>
          <w:color w:val="auto"/>
          <w:lang w:val="es-419"/>
        </w:rPr>
      </w:pPr>
    </w:p>
    <w:p w14:paraId="71370FEF" w14:textId="77777777" w:rsidR="00FE6ED9" w:rsidRDefault="00FE6ED9" w:rsidP="0048341F">
      <w:pPr>
        <w:ind w:left="113"/>
        <w:rPr>
          <w:rFonts w:asciiTheme="majorHAnsi" w:eastAsia="Arial Unicode MS" w:hAnsiTheme="majorHAnsi" w:cstheme="majorHAnsi"/>
          <w:bCs/>
          <w:color w:val="auto"/>
          <w:lang w:val="es-419"/>
        </w:rPr>
      </w:pPr>
    </w:p>
    <w:p w14:paraId="7285BBAC" w14:textId="77777777" w:rsidR="00FE6ED9" w:rsidRDefault="00FE6ED9" w:rsidP="0048341F">
      <w:pPr>
        <w:ind w:left="113"/>
        <w:rPr>
          <w:rFonts w:asciiTheme="majorHAnsi" w:eastAsia="Arial Unicode MS" w:hAnsiTheme="majorHAnsi" w:cstheme="majorHAnsi"/>
          <w:bCs/>
          <w:color w:val="auto"/>
          <w:lang w:val="es-419"/>
        </w:rPr>
      </w:pPr>
    </w:p>
    <w:p w14:paraId="6BAD838B" w14:textId="7A9C54EB" w:rsidR="0088386B" w:rsidRPr="00931ABC" w:rsidRDefault="0088386B" w:rsidP="0048341F">
      <w:pPr>
        <w:tabs>
          <w:tab w:val="left" w:pos="8568"/>
        </w:tabs>
        <w:rPr>
          <w:rFonts w:asciiTheme="majorHAnsi" w:eastAsia="Arial Unicode MS" w:hAnsiTheme="majorHAnsi" w:cstheme="majorHAnsi"/>
          <w:b/>
          <w:color w:val="auto"/>
          <w:lang w:val="es-419"/>
        </w:rPr>
      </w:pPr>
    </w:p>
    <w:p w14:paraId="0B1F431B" w14:textId="5000DB53" w:rsidR="007C3C37" w:rsidRPr="00931ABC" w:rsidRDefault="00363CA2" w:rsidP="00363CA2">
      <w:pPr>
        <w:pStyle w:val="ListParagraph"/>
        <w:numPr>
          <w:ilvl w:val="0"/>
          <w:numId w:val="28"/>
        </w:numPr>
        <w:tabs>
          <w:tab w:val="left" w:pos="8568"/>
        </w:tabs>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PERFIL DEL CANDIDATO:</w:t>
      </w:r>
    </w:p>
    <w:p w14:paraId="4BEAE2E2" w14:textId="77777777" w:rsidR="00363CA2" w:rsidRPr="00931ABC" w:rsidRDefault="00363CA2" w:rsidP="00363CA2">
      <w:pPr>
        <w:pStyle w:val="ListParagraph"/>
        <w:tabs>
          <w:tab w:val="left" w:pos="8568"/>
        </w:tabs>
        <w:rPr>
          <w:rFonts w:asciiTheme="majorHAnsi" w:eastAsia="Arial Unicode MS" w:hAnsiTheme="majorHAnsi" w:cstheme="majorHAnsi"/>
          <w:b/>
          <w:color w:val="auto"/>
          <w:lang w:val="es-419"/>
        </w:rPr>
      </w:pPr>
    </w:p>
    <w:tbl>
      <w:tblPr>
        <w:tblStyle w:val="TableGrid"/>
        <w:tblW w:w="10435" w:type="dxa"/>
        <w:tblLook w:val="04A0" w:firstRow="1" w:lastRow="0" w:firstColumn="1" w:lastColumn="0" w:noHBand="0" w:noVBand="1"/>
      </w:tblPr>
      <w:tblGrid>
        <w:gridCol w:w="3865"/>
        <w:gridCol w:w="6570"/>
      </w:tblGrid>
      <w:tr w:rsidR="0070693B" w:rsidRPr="003057B2" w14:paraId="48C7FBF4" w14:textId="77777777" w:rsidTr="00FE6ED9">
        <w:trPr>
          <w:trHeight w:val="485"/>
        </w:trPr>
        <w:tc>
          <w:tcPr>
            <w:tcW w:w="3865" w:type="dxa"/>
          </w:tcPr>
          <w:p w14:paraId="22309FC0" w14:textId="3575B36D" w:rsidR="0070693B" w:rsidRPr="00931ABC" w:rsidRDefault="00941DF0" w:rsidP="0070693B">
            <w:pPr>
              <w:jc w:val="both"/>
              <w:rPr>
                <w:rFonts w:asciiTheme="majorHAnsi" w:eastAsia="Arial Unicode MS" w:hAnsiTheme="majorHAnsi" w:cstheme="majorHAnsi"/>
                <w:b/>
                <w:color w:val="auto"/>
                <w:lang w:val="es-419"/>
              </w:rPr>
            </w:pPr>
            <w:r w:rsidRPr="009D660B">
              <w:rPr>
                <w:rFonts w:asciiTheme="majorHAnsi" w:eastAsia="Arial Unicode MS" w:hAnsiTheme="majorHAnsi" w:cstheme="majorHAnsi"/>
                <w:b/>
                <w:color w:val="auto"/>
                <w:lang w:val="es-419"/>
              </w:rPr>
              <w:t>FORMACIÓN ACADÉMICA MÍNIMA REQUERIDA PARA CONSIDERAR A UN CANDIDATO</w:t>
            </w:r>
            <w:r w:rsidR="0070693B" w:rsidRPr="009D660B">
              <w:rPr>
                <w:rFonts w:asciiTheme="majorHAnsi" w:eastAsia="Arial Unicode MS" w:hAnsiTheme="majorHAnsi" w:cstheme="majorHAnsi"/>
                <w:b/>
                <w:color w:val="auto"/>
                <w:lang w:val="es-419"/>
              </w:rPr>
              <w:t>:</w:t>
            </w:r>
          </w:p>
          <w:p w14:paraId="3D8DEF51" w14:textId="17F4AE65" w:rsidR="004F3D62" w:rsidRPr="00931ABC" w:rsidRDefault="00CA4D03" w:rsidP="0070693B">
            <w:pPr>
              <w:spacing w:before="60" w:line="240" w:lineRule="auto"/>
              <w:rPr>
                <w:rFonts w:asciiTheme="majorHAnsi" w:eastAsia="Arial Unicode MS" w:hAnsiTheme="majorHAnsi" w:cstheme="majorHAnsi"/>
                <w:color w:val="auto"/>
                <w:lang w:val="es-419"/>
              </w:rPr>
            </w:pPr>
            <w:r>
              <w:rPr>
                <w:rFonts w:asciiTheme="majorHAnsi" w:eastAsia="Arial Unicode MS" w:hAnsiTheme="majorHAnsi" w:cstheme="majorHAnsi"/>
                <w:color w:val="auto"/>
                <w:lang w:val="en-AU"/>
              </w:rPr>
              <w:fldChar w:fldCharType="begin">
                <w:ffData>
                  <w:name w:val="Check6"/>
                  <w:enabled/>
                  <w:calcOnExit w:val="0"/>
                  <w:checkBox>
                    <w:sizeAuto/>
                    <w:default w:val="1"/>
                  </w:checkBox>
                </w:ffData>
              </w:fldChar>
            </w:r>
            <w:bookmarkStart w:id="0" w:name="Check6"/>
            <w:r w:rsidRPr="00E55969">
              <w:rPr>
                <w:rFonts w:asciiTheme="majorHAnsi" w:eastAsia="Arial Unicode MS" w:hAnsiTheme="majorHAnsi" w:cstheme="majorHAnsi"/>
                <w:color w:val="auto"/>
                <w:lang w:val="es-BO"/>
              </w:rPr>
              <w:instrText xml:space="preserve"> FORMCHECKBOX </w:instrText>
            </w:r>
            <w:r>
              <w:rPr>
                <w:rFonts w:asciiTheme="majorHAnsi" w:eastAsia="Arial Unicode MS" w:hAnsiTheme="majorHAnsi" w:cstheme="majorHAnsi"/>
                <w:color w:val="auto"/>
                <w:lang w:val="en-AU"/>
              </w:rPr>
            </w:r>
            <w:r>
              <w:rPr>
                <w:rFonts w:asciiTheme="majorHAnsi" w:eastAsia="Arial Unicode MS" w:hAnsiTheme="majorHAnsi" w:cstheme="majorHAnsi"/>
                <w:color w:val="auto"/>
                <w:lang w:val="en-AU"/>
              </w:rPr>
              <w:fldChar w:fldCharType="separate"/>
            </w:r>
            <w:r>
              <w:rPr>
                <w:rFonts w:asciiTheme="majorHAnsi" w:eastAsia="Arial Unicode MS" w:hAnsiTheme="majorHAnsi" w:cstheme="majorHAnsi"/>
                <w:color w:val="auto"/>
                <w:lang w:val="en-AU"/>
              </w:rPr>
              <w:fldChar w:fldCharType="end"/>
            </w:r>
            <w:bookmarkEnd w:id="0"/>
            <w:r w:rsidR="0070693B" w:rsidRPr="00931ABC">
              <w:rPr>
                <w:rFonts w:asciiTheme="majorHAnsi" w:eastAsia="Arial Unicode MS" w:hAnsiTheme="majorHAnsi" w:cstheme="majorHAnsi"/>
                <w:color w:val="auto"/>
                <w:lang w:val="es-419"/>
              </w:rPr>
              <w:t xml:space="preserve"> Licenciatura   </w:t>
            </w:r>
            <w:r w:rsidR="0070693B" w:rsidRPr="00931ABC">
              <w:rPr>
                <w:rFonts w:asciiTheme="majorHAnsi" w:eastAsia="Arial Unicode MS" w:hAnsiTheme="majorHAnsi" w:cstheme="majorHAnsi"/>
                <w:color w:val="auto"/>
                <w:lang w:val="en-AU"/>
              </w:rPr>
              <w:fldChar w:fldCharType="begin">
                <w:ffData>
                  <w:name w:val="Check7"/>
                  <w:enabled/>
                  <w:calcOnExit w:val="0"/>
                  <w:checkBox>
                    <w:sizeAuto/>
                    <w:default w:val="0"/>
                  </w:checkBox>
                </w:ffData>
              </w:fldChar>
            </w:r>
            <w:r w:rsidR="0070693B" w:rsidRPr="00931ABC">
              <w:rPr>
                <w:rFonts w:asciiTheme="majorHAnsi" w:eastAsia="Arial Unicode MS" w:hAnsiTheme="majorHAnsi" w:cstheme="majorHAnsi"/>
                <w:color w:val="auto"/>
                <w:lang w:val="es-419"/>
              </w:rPr>
              <w:instrText xml:space="preserve"> FORMCHECKBOX </w:instrText>
            </w:r>
            <w:r w:rsidR="0070693B" w:rsidRPr="00931ABC">
              <w:rPr>
                <w:rFonts w:asciiTheme="majorHAnsi" w:eastAsia="Arial Unicode MS" w:hAnsiTheme="majorHAnsi" w:cstheme="majorHAnsi"/>
                <w:color w:val="auto"/>
                <w:lang w:val="en-AU"/>
              </w:rPr>
            </w:r>
            <w:r w:rsidR="0070693B" w:rsidRPr="00931ABC">
              <w:rPr>
                <w:rFonts w:asciiTheme="majorHAnsi" w:eastAsia="Arial Unicode MS" w:hAnsiTheme="majorHAnsi" w:cstheme="majorHAnsi"/>
                <w:color w:val="auto"/>
                <w:lang w:val="en-AU"/>
              </w:rPr>
              <w:fldChar w:fldCharType="separate"/>
            </w:r>
            <w:r w:rsidR="0070693B" w:rsidRPr="00931ABC">
              <w:rPr>
                <w:rFonts w:asciiTheme="majorHAnsi" w:eastAsia="Arial Unicode MS" w:hAnsiTheme="majorHAnsi" w:cstheme="majorHAnsi"/>
                <w:color w:val="auto"/>
                <w:lang w:val="en-AU"/>
              </w:rPr>
              <w:fldChar w:fldCharType="end"/>
            </w:r>
            <w:r w:rsidR="0070693B" w:rsidRPr="00931ABC">
              <w:rPr>
                <w:rFonts w:asciiTheme="majorHAnsi" w:eastAsia="Arial Unicode MS" w:hAnsiTheme="majorHAnsi" w:cstheme="majorHAnsi"/>
                <w:color w:val="auto"/>
                <w:lang w:val="es-419"/>
              </w:rPr>
              <w:t xml:space="preserve"> Postgrado   </w:t>
            </w:r>
            <w:r>
              <w:rPr>
                <w:rFonts w:asciiTheme="majorHAnsi" w:eastAsia="Arial Unicode MS" w:hAnsiTheme="majorHAnsi" w:cstheme="majorHAnsi"/>
                <w:color w:val="auto"/>
                <w:lang w:val="en-AU"/>
              </w:rPr>
              <w:fldChar w:fldCharType="begin">
                <w:ffData>
                  <w:name w:val="Check8"/>
                  <w:enabled/>
                  <w:calcOnExit w:val="0"/>
                  <w:checkBox>
                    <w:sizeAuto/>
                    <w:default w:val="0"/>
                  </w:checkBox>
                </w:ffData>
              </w:fldChar>
            </w:r>
            <w:bookmarkStart w:id="1" w:name="Check8"/>
            <w:r w:rsidRPr="00E55969">
              <w:rPr>
                <w:rFonts w:asciiTheme="majorHAnsi" w:eastAsia="Arial Unicode MS" w:hAnsiTheme="majorHAnsi" w:cstheme="majorHAnsi"/>
                <w:color w:val="auto"/>
                <w:lang w:val="es-BO"/>
              </w:rPr>
              <w:instrText xml:space="preserve"> FORMCHECKBOX </w:instrText>
            </w:r>
            <w:r>
              <w:rPr>
                <w:rFonts w:asciiTheme="majorHAnsi" w:eastAsia="Arial Unicode MS" w:hAnsiTheme="majorHAnsi" w:cstheme="majorHAnsi"/>
                <w:color w:val="auto"/>
                <w:lang w:val="en-AU"/>
              </w:rPr>
            </w:r>
            <w:r>
              <w:rPr>
                <w:rFonts w:asciiTheme="majorHAnsi" w:eastAsia="Arial Unicode MS" w:hAnsiTheme="majorHAnsi" w:cstheme="majorHAnsi"/>
                <w:color w:val="auto"/>
                <w:lang w:val="en-AU"/>
              </w:rPr>
              <w:fldChar w:fldCharType="separate"/>
            </w:r>
            <w:r>
              <w:rPr>
                <w:rFonts w:asciiTheme="majorHAnsi" w:eastAsia="Arial Unicode MS" w:hAnsiTheme="majorHAnsi" w:cstheme="majorHAnsi"/>
                <w:color w:val="auto"/>
                <w:lang w:val="en-AU"/>
              </w:rPr>
              <w:fldChar w:fldCharType="end"/>
            </w:r>
            <w:bookmarkEnd w:id="1"/>
            <w:r w:rsidR="0070693B" w:rsidRPr="00931ABC">
              <w:rPr>
                <w:rFonts w:asciiTheme="majorHAnsi" w:eastAsia="Arial Unicode MS" w:hAnsiTheme="majorHAnsi" w:cstheme="majorHAnsi"/>
                <w:color w:val="auto"/>
                <w:lang w:val="es-419"/>
              </w:rPr>
              <w:t xml:space="preserve"> Maestría </w:t>
            </w:r>
          </w:p>
          <w:p w14:paraId="2F16C120" w14:textId="39343203" w:rsidR="0070693B" w:rsidRPr="00931ABC" w:rsidRDefault="0070693B" w:rsidP="0070693B">
            <w:pPr>
              <w:spacing w:before="60" w:line="240" w:lineRule="auto"/>
              <w:rPr>
                <w:rFonts w:asciiTheme="majorHAnsi" w:eastAsia="Arial Unicode MS" w:hAnsiTheme="majorHAnsi" w:cstheme="majorHAnsi"/>
                <w:color w:val="auto"/>
                <w:lang w:val="es-419"/>
              </w:rPr>
            </w:pPr>
            <w:r w:rsidRPr="00931ABC">
              <w:rPr>
                <w:rFonts w:asciiTheme="majorHAnsi" w:eastAsia="Arial Unicode MS" w:hAnsiTheme="majorHAnsi" w:cstheme="majorHAnsi"/>
                <w:color w:val="auto"/>
                <w:lang w:val="en-AU"/>
              </w:rPr>
              <w:fldChar w:fldCharType="begin">
                <w:ffData>
                  <w:name w:val="Check9"/>
                  <w:enabled/>
                  <w:calcOnExit w:val="0"/>
                  <w:checkBox>
                    <w:sizeAuto/>
                    <w:default w:val="0"/>
                  </w:checkBox>
                </w:ffData>
              </w:fldChar>
            </w:r>
            <w:r w:rsidRPr="00931ABC">
              <w:rPr>
                <w:rFonts w:asciiTheme="majorHAnsi" w:eastAsia="Arial Unicode MS" w:hAnsiTheme="majorHAnsi" w:cstheme="majorHAnsi"/>
                <w:color w:val="auto"/>
                <w:lang w:val="es-419"/>
              </w:rPr>
              <w:instrText xml:space="preserve"> FORMCHECKBOX </w:instrText>
            </w:r>
            <w:r w:rsidRPr="00931ABC">
              <w:rPr>
                <w:rFonts w:asciiTheme="majorHAnsi" w:eastAsia="Arial Unicode MS" w:hAnsiTheme="majorHAnsi" w:cstheme="majorHAnsi"/>
                <w:color w:val="auto"/>
                <w:lang w:val="en-AU"/>
              </w:rPr>
            </w:r>
            <w:r w:rsidRPr="00931ABC">
              <w:rPr>
                <w:rFonts w:asciiTheme="majorHAnsi" w:eastAsia="Arial Unicode MS" w:hAnsiTheme="majorHAnsi" w:cstheme="majorHAnsi"/>
                <w:color w:val="auto"/>
                <w:lang w:val="en-AU"/>
              </w:rPr>
              <w:fldChar w:fldCharType="separate"/>
            </w:r>
            <w:r w:rsidRPr="00931ABC">
              <w:rPr>
                <w:rFonts w:asciiTheme="majorHAnsi" w:eastAsia="Arial Unicode MS" w:hAnsiTheme="majorHAnsi" w:cstheme="majorHAnsi"/>
                <w:color w:val="auto"/>
                <w:lang w:val="en-AU"/>
              </w:rPr>
              <w:fldChar w:fldCharType="end"/>
            </w:r>
            <w:r w:rsidRPr="00931ABC">
              <w:rPr>
                <w:rFonts w:asciiTheme="majorHAnsi" w:eastAsia="Arial Unicode MS" w:hAnsiTheme="majorHAnsi" w:cstheme="majorHAnsi"/>
                <w:color w:val="auto"/>
                <w:lang w:val="es-419"/>
              </w:rPr>
              <w:t xml:space="preserve"> PhD</w:t>
            </w:r>
            <w:r w:rsidR="00363CA2" w:rsidRPr="00931ABC">
              <w:rPr>
                <w:rFonts w:asciiTheme="majorHAnsi" w:eastAsia="Arial Unicode MS" w:hAnsiTheme="majorHAnsi" w:cstheme="majorHAnsi"/>
                <w:color w:val="auto"/>
                <w:lang w:val="es-419"/>
              </w:rPr>
              <w:t xml:space="preserve">                 </w:t>
            </w:r>
            <w:r w:rsidRPr="00931ABC">
              <w:rPr>
                <w:rFonts w:asciiTheme="majorHAnsi" w:eastAsia="Arial Unicode MS" w:hAnsiTheme="majorHAnsi" w:cstheme="majorHAnsi"/>
                <w:color w:val="auto"/>
                <w:lang w:val="en-AU"/>
              </w:rPr>
              <w:fldChar w:fldCharType="begin">
                <w:ffData>
                  <w:name w:val="Check9"/>
                  <w:enabled/>
                  <w:calcOnExit w:val="0"/>
                  <w:checkBox>
                    <w:sizeAuto/>
                    <w:default w:val="0"/>
                  </w:checkBox>
                </w:ffData>
              </w:fldChar>
            </w:r>
            <w:r w:rsidRPr="00931ABC">
              <w:rPr>
                <w:rFonts w:asciiTheme="majorHAnsi" w:eastAsia="Arial Unicode MS" w:hAnsiTheme="majorHAnsi" w:cstheme="majorHAnsi"/>
                <w:color w:val="auto"/>
                <w:lang w:val="es-419"/>
              </w:rPr>
              <w:instrText xml:space="preserve"> FORMCHECKBOX </w:instrText>
            </w:r>
            <w:r w:rsidRPr="00931ABC">
              <w:rPr>
                <w:rFonts w:asciiTheme="majorHAnsi" w:eastAsia="Arial Unicode MS" w:hAnsiTheme="majorHAnsi" w:cstheme="majorHAnsi"/>
                <w:color w:val="auto"/>
                <w:lang w:val="en-AU"/>
              </w:rPr>
            </w:r>
            <w:r w:rsidRPr="00931ABC">
              <w:rPr>
                <w:rFonts w:asciiTheme="majorHAnsi" w:eastAsia="Arial Unicode MS" w:hAnsiTheme="majorHAnsi" w:cstheme="majorHAnsi"/>
                <w:color w:val="auto"/>
                <w:lang w:val="en-AU"/>
              </w:rPr>
              <w:fldChar w:fldCharType="separate"/>
            </w:r>
            <w:r w:rsidRPr="00931ABC">
              <w:rPr>
                <w:rFonts w:asciiTheme="majorHAnsi" w:eastAsia="Arial Unicode MS" w:hAnsiTheme="majorHAnsi" w:cstheme="majorHAnsi"/>
                <w:color w:val="auto"/>
                <w:lang w:val="en-AU"/>
              </w:rPr>
              <w:fldChar w:fldCharType="end"/>
            </w:r>
            <w:r w:rsidRPr="00931ABC">
              <w:rPr>
                <w:rFonts w:asciiTheme="majorHAnsi" w:eastAsia="Arial Unicode MS" w:hAnsiTheme="majorHAnsi" w:cstheme="majorHAnsi"/>
                <w:color w:val="auto"/>
                <w:lang w:val="es-419"/>
              </w:rPr>
              <w:t xml:space="preserve"> Otro</w:t>
            </w:r>
            <w:r w:rsidR="004F3D62" w:rsidRPr="00931ABC">
              <w:rPr>
                <w:rFonts w:asciiTheme="majorHAnsi" w:eastAsia="Arial Unicode MS" w:hAnsiTheme="majorHAnsi" w:cstheme="majorHAnsi"/>
                <w:color w:val="auto"/>
                <w:lang w:val="es-419"/>
              </w:rPr>
              <w:t xml:space="preserve"> ……………………</w:t>
            </w:r>
          </w:p>
          <w:p w14:paraId="76EB75D6" w14:textId="77777777" w:rsidR="0088386B" w:rsidRPr="00931ABC" w:rsidRDefault="0088386B" w:rsidP="0088386B">
            <w:pPr>
              <w:jc w:val="both"/>
              <w:rPr>
                <w:rFonts w:asciiTheme="majorHAnsi" w:eastAsia="Arial Unicode MS" w:hAnsiTheme="majorHAnsi" w:cstheme="majorHAnsi"/>
                <w:b/>
                <w:color w:val="auto"/>
                <w:lang w:val="es-419"/>
              </w:rPr>
            </w:pPr>
          </w:p>
          <w:p w14:paraId="5BE6BE82" w14:textId="34014BC7" w:rsidR="0088386B" w:rsidRPr="00931ABC" w:rsidRDefault="00931ABC" w:rsidP="0088386B">
            <w:pPr>
              <w:spacing w:line="240" w:lineRule="auto"/>
              <w:rPr>
                <w:rFonts w:asciiTheme="majorHAnsi" w:hAnsiTheme="majorHAnsi" w:cstheme="majorHAnsi"/>
                <w:bCs/>
                <w:color w:val="auto"/>
                <w:lang w:val="es-ES"/>
              </w:rPr>
            </w:pPr>
            <w:r w:rsidRPr="00931ABC">
              <w:rPr>
                <w:rFonts w:asciiTheme="majorHAnsi" w:eastAsia="Arial Unicode MS" w:hAnsiTheme="majorHAnsi" w:cstheme="majorHAnsi"/>
                <w:b/>
                <w:color w:val="auto"/>
                <w:lang w:val="es-419"/>
              </w:rPr>
              <w:lastRenderedPageBreak/>
              <w:t>ESPECIFICAR EL ÁREA DE FORMACIÓN ACADÉMICA</w:t>
            </w:r>
            <w:r>
              <w:rPr>
                <w:rFonts w:asciiTheme="majorHAnsi" w:eastAsia="Arial Unicode MS" w:hAnsiTheme="majorHAnsi" w:cstheme="majorHAnsi"/>
                <w:b/>
                <w:color w:val="auto"/>
                <w:lang w:val="es-419"/>
              </w:rPr>
              <w:t>. -</w:t>
            </w:r>
          </w:p>
          <w:p w14:paraId="2A05051E" w14:textId="393E953D" w:rsidR="00075BA9" w:rsidRPr="003057B2" w:rsidRDefault="00173392" w:rsidP="00075BA9">
            <w:pPr>
              <w:spacing w:before="60" w:line="240" w:lineRule="auto"/>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419"/>
              </w:rPr>
              <w:t>Formación académica en Ciencias sociales, económicas u otras a fines. Estudios de Postgrado a nivel maestría en ciencias sociales, económicas u otras afines.</w:t>
            </w:r>
          </w:p>
          <w:p w14:paraId="2DBA705B" w14:textId="64750E53" w:rsidR="00413FFD" w:rsidRPr="003057B2" w:rsidRDefault="00413FFD" w:rsidP="0070693B">
            <w:pPr>
              <w:spacing w:before="60" w:line="240" w:lineRule="auto"/>
              <w:rPr>
                <w:rFonts w:asciiTheme="majorHAnsi" w:eastAsia="Arial Unicode MS" w:hAnsiTheme="majorHAnsi" w:cstheme="majorHAnsi"/>
                <w:color w:val="BB15AF"/>
                <w:lang w:val="es-419"/>
              </w:rPr>
            </w:pPr>
          </w:p>
          <w:p w14:paraId="3B8CF226" w14:textId="7500A2C1" w:rsidR="00413FFD" w:rsidRPr="003057B2" w:rsidRDefault="00141AA8" w:rsidP="00C561C0">
            <w:pPr>
              <w:spacing w:line="240" w:lineRule="auto"/>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419"/>
              </w:rPr>
              <w:t xml:space="preserve">El/la consultor/a requiere un conocimiento </w:t>
            </w:r>
            <w:r w:rsidR="00C561C0" w:rsidRPr="003057B2">
              <w:rPr>
                <w:rFonts w:asciiTheme="majorHAnsi" w:eastAsia="Arial Unicode MS" w:hAnsiTheme="majorHAnsi" w:cstheme="majorHAnsi"/>
                <w:bCs/>
                <w:color w:val="auto"/>
                <w:lang w:val="es-419"/>
              </w:rPr>
              <w:t xml:space="preserve">aplicado de la metodología de planificación para el desarrollo en Bolivia, conocimiento sobre los derechos de los niños, niñas y adolescentes, conocimiento sobre salud sexual y reproductiva y conocimiento </w:t>
            </w:r>
            <w:r w:rsidRPr="003057B2">
              <w:rPr>
                <w:rFonts w:asciiTheme="majorHAnsi" w:eastAsia="Arial Unicode MS" w:hAnsiTheme="majorHAnsi" w:cstheme="majorHAnsi"/>
                <w:bCs/>
                <w:color w:val="auto"/>
                <w:lang w:val="es-419"/>
              </w:rPr>
              <w:t>de las condiciones socioeconómicas nacionales o locales.</w:t>
            </w:r>
          </w:p>
          <w:p w14:paraId="44594194" w14:textId="03A0E528" w:rsidR="0070693B" w:rsidRPr="00931ABC" w:rsidRDefault="0070693B" w:rsidP="00413FFD">
            <w:pPr>
              <w:pStyle w:val="ListParagraph"/>
              <w:rPr>
                <w:rFonts w:asciiTheme="majorHAnsi" w:eastAsia="Arial Unicode MS" w:hAnsiTheme="majorHAnsi" w:cstheme="majorHAnsi"/>
                <w:b/>
                <w:color w:val="auto"/>
                <w:lang w:val="es-419"/>
              </w:rPr>
            </w:pPr>
          </w:p>
        </w:tc>
        <w:tc>
          <w:tcPr>
            <w:tcW w:w="6570" w:type="dxa"/>
          </w:tcPr>
          <w:p w14:paraId="69C4D0CE" w14:textId="0A81B0DB" w:rsidR="0070693B" w:rsidRPr="003057B2" w:rsidRDefault="00941DF0" w:rsidP="0070693B">
            <w:pPr>
              <w:spacing w:line="240" w:lineRule="auto"/>
              <w:rPr>
                <w:rFonts w:asciiTheme="majorHAnsi" w:eastAsia="Arial Unicode MS" w:hAnsiTheme="majorHAnsi" w:cstheme="majorHAnsi"/>
                <w:bCs/>
                <w:color w:val="auto"/>
                <w:lang w:val="es-419"/>
              </w:rPr>
            </w:pPr>
            <w:r w:rsidRPr="003057B2">
              <w:rPr>
                <w:rFonts w:asciiTheme="majorHAnsi" w:eastAsia="Arial Unicode MS" w:hAnsiTheme="majorHAnsi" w:cstheme="majorHAnsi"/>
                <w:b/>
                <w:color w:val="auto"/>
                <w:lang w:val="es-419"/>
              </w:rPr>
              <w:lastRenderedPageBreak/>
              <w:t xml:space="preserve">EXPERIENCIA GENERAL. </w:t>
            </w:r>
            <w:r w:rsidR="0070693B" w:rsidRPr="003057B2">
              <w:rPr>
                <w:rFonts w:asciiTheme="majorHAnsi" w:eastAsia="Arial Unicode MS" w:hAnsiTheme="majorHAnsi" w:cstheme="majorHAnsi"/>
                <w:b/>
                <w:color w:val="auto"/>
                <w:lang w:val="es-419"/>
              </w:rPr>
              <w:t xml:space="preserve">- </w:t>
            </w:r>
          </w:p>
          <w:p w14:paraId="51805345" w14:textId="0F067480" w:rsidR="00413FFD" w:rsidRPr="003057B2" w:rsidRDefault="007B4D76" w:rsidP="0070693B">
            <w:pPr>
              <w:spacing w:line="240" w:lineRule="auto"/>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419"/>
              </w:rPr>
              <w:t>Al menos cinco (5) años de experiencia en planificación de</w:t>
            </w:r>
            <w:r w:rsidR="00C561C0" w:rsidRPr="003057B2">
              <w:rPr>
                <w:rFonts w:asciiTheme="majorHAnsi" w:eastAsia="Arial Unicode MS" w:hAnsiTheme="majorHAnsi" w:cstheme="majorHAnsi"/>
                <w:bCs/>
                <w:color w:val="auto"/>
                <w:lang w:val="es-419"/>
              </w:rPr>
              <w:t>l desarrollo en Bolivia.</w:t>
            </w:r>
            <w:r w:rsidRPr="003057B2">
              <w:rPr>
                <w:rFonts w:asciiTheme="majorHAnsi" w:eastAsia="Arial Unicode MS" w:hAnsiTheme="majorHAnsi" w:cstheme="majorHAnsi"/>
                <w:bCs/>
                <w:color w:val="auto"/>
                <w:lang w:val="es-419"/>
              </w:rPr>
              <w:t xml:space="preserve"> </w:t>
            </w:r>
          </w:p>
          <w:p w14:paraId="57CD16F5" w14:textId="77777777" w:rsidR="007B4D76" w:rsidRPr="003057B2" w:rsidRDefault="007B4D76" w:rsidP="0070693B">
            <w:pPr>
              <w:spacing w:line="240" w:lineRule="auto"/>
              <w:rPr>
                <w:rFonts w:asciiTheme="majorHAnsi" w:eastAsia="Arial Unicode MS" w:hAnsiTheme="majorHAnsi" w:cstheme="majorHAnsi"/>
                <w:b/>
                <w:color w:val="auto"/>
                <w:lang w:val="es-419"/>
              </w:rPr>
            </w:pPr>
          </w:p>
          <w:p w14:paraId="3E8B6646" w14:textId="0A8332AB" w:rsidR="0070693B" w:rsidRPr="003057B2" w:rsidRDefault="00941DF0" w:rsidP="0070693B">
            <w:pPr>
              <w:spacing w:line="240" w:lineRule="auto"/>
              <w:rPr>
                <w:rFonts w:asciiTheme="majorHAnsi" w:eastAsia="Arial Unicode MS" w:hAnsiTheme="majorHAnsi" w:cstheme="majorHAnsi"/>
                <w:bCs/>
                <w:color w:val="auto"/>
                <w:lang w:val="es-419"/>
              </w:rPr>
            </w:pPr>
            <w:r w:rsidRPr="003057B2">
              <w:rPr>
                <w:rFonts w:asciiTheme="majorHAnsi" w:eastAsia="Arial Unicode MS" w:hAnsiTheme="majorHAnsi" w:cstheme="majorHAnsi"/>
                <w:b/>
                <w:color w:val="auto"/>
                <w:lang w:val="es-419"/>
              </w:rPr>
              <w:t xml:space="preserve">EXPERIENCIA ESPECÍFICA. </w:t>
            </w:r>
            <w:r w:rsidR="0070693B" w:rsidRPr="003057B2">
              <w:rPr>
                <w:rFonts w:asciiTheme="majorHAnsi" w:eastAsia="Arial Unicode MS" w:hAnsiTheme="majorHAnsi" w:cstheme="majorHAnsi"/>
                <w:b/>
                <w:color w:val="auto"/>
                <w:lang w:val="es-419"/>
              </w:rPr>
              <w:t xml:space="preserve">- </w:t>
            </w:r>
          </w:p>
          <w:p w14:paraId="03897B37" w14:textId="1C068CC7" w:rsidR="00CA4D03" w:rsidRPr="003057B2" w:rsidRDefault="00CA4D03" w:rsidP="00C561C0">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419"/>
              </w:rPr>
              <w:t>Experiencia (al menos 1 año) en análisis de presupuestos municipales para niñez.</w:t>
            </w:r>
          </w:p>
          <w:p w14:paraId="1CDDDAF7" w14:textId="30F008AC" w:rsidR="00C561C0" w:rsidRPr="003057B2" w:rsidRDefault="00C561C0" w:rsidP="00C561C0">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419"/>
              </w:rPr>
              <w:lastRenderedPageBreak/>
              <w:t>Experiencia (al menos 1 año) en la elaboración de guías o manuales metodológicos para la planificación del desarrollo en el nivel municipal, con temática social.</w:t>
            </w:r>
          </w:p>
          <w:p w14:paraId="117F2234" w14:textId="77777777" w:rsidR="00C561C0" w:rsidRPr="003057B2" w:rsidRDefault="00C561C0" w:rsidP="00C561C0">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419"/>
              </w:rPr>
              <w:t xml:space="preserve">Experiencia (al menos 3 años) en el diseño y coordinación y/o ejecución de proyectos con enfoque social y de derechos. </w:t>
            </w:r>
          </w:p>
          <w:p w14:paraId="668F9339" w14:textId="12480A33" w:rsidR="007B4D76" w:rsidRPr="003057B2" w:rsidRDefault="007B4D76" w:rsidP="007B4D76">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419"/>
              </w:rPr>
              <w:t xml:space="preserve">Experiencia </w:t>
            </w:r>
            <w:r w:rsidR="00C561C0" w:rsidRPr="003057B2">
              <w:rPr>
                <w:rFonts w:asciiTheme="majorHAnsi" w:eastAsia="Arial Unicode MS" w:hAnsiTheme="majorHAnsi" w:cstheme="majorHAnsi"/>
                <w:bCs/>
                <w:color w:val="auto"/>
                <w:lang w:val="es-419"/>
              </w:rPr>
              <w:t xml:space="preserve">(al menos 2 años) </w:t>
            </w:r>
            <w:r w:rsidRPr="003057B2">
              <w:rPr>
                <w:rFonts w:asciiTheme="majorHAnsi" w:eastAsia="Arial Unicode MS" w:hAnsiTheme="majorHAnsi" w:cstheme="majorHAnsi"/>
                <w:bCs/>
                <w:color w:val="auto"/>
                <w:lang w:val="es-419"/>
              </w:rPr>
              <w:t xml:space="preserve">en la gestión pública </w:t>
            </w:r>
            <w:r w:rsidR="00C561C0" w:rsidRPr="003057B2">
              <w:rPr>
                <w:rFonts w:asciiTheme="majorHAnsi" w:eastAsia="Arial Unicode MS" w:hAnsiTheme="majorHAnsi" w:cstheme="majorHAnsi"/>
                <w:bCs/>
                <w:color w:val="auto"/>
                <w:lang w:val="es-419"/>
              </w:rPr>
              <w:t>(planificación del desarrollo).</w:t>
            </w:r>
          </w:p>
          <w:p w14:paraId="2D0FCED8" w14:textId="55610099" w:rsidR="007B4D76" w:rsidRPr="003057B2" w:rsidRDefault="007B4D76" w:rsidP="007B4D76">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419"/>
              </w:rPr>
              <w:t xml:space="preserve">Experiencia </w:t>
            </w:r>
            <w:r w:rsidR="00C561C0" w:rsidRPr="003057B2">
              <w:rPr>
                <w:rFonts w:asciiTheme="majorHAnsi" w:eastAsia="Arial Unicode MS" w:hAnsiTheme="majorHAnsi" w:cstheme="majorHAnsi"/>
                <w:bCs/>
                <w:color w:val="auto"/>
                <w:lang w:val="es-419"/>
              </w:rPr>
              <w:t xml:space="preserve">(al menos 2 años) </w:t>
            </w:r>
            <w:r w:rsidRPr="003057B2">
              <w:rPr>
                <w:rFonts w:asciiTheme="majorHAnsi" w:eastAsia="Arial Unicode MS" w:hAnsiTheme="majorHAnsi" w:cstheme="majorHAnsi"/>
                <w:bCs/>
                <w:color w:val="auto"/>
                <w:lang w:val="es-419"/>
              </w:rPr>
              <w:t xml:space="preserve">en </w:t>
            </w:r>
            <w:r w:rsidR="00C561C0" w:rsidRPr="003057B2">
              <w:rPr>
                <w:rFonts w:asciiTheme="majorHAnsi" w:eastAsia="Arial Unicode MS" w:hAnsiTheme="majorHAnsi" w:cstheme="majorHAnsi"/>
                <w:bCs/>
                <w:color w:val="auto"/>
                <w:lang w:val="es-419"/>
              </w:rPr>
              <w:t>estimación de presupuestos públicos para programas y/o proyectos.</w:t>
            </w:r>
          </w:p>
          <w:p w14:paraId="5C109915" w14:textId="67637A10" w:rsidR="00CA4D03" w:rsidRPr="003057B2" w:rsidRDefault="00CA4D03" w:rsidP="007B4D76">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419"/>
              </w:rPr>
              <w:t>Experiencia de trabajo con organismos de Naciones Unidas (Deseable).</w:t>
            </w:r>
          </w:p>
          <w:p w14:paraId="78181E7F" w14:textId="77777777" w:rsidR="007B4D76" w:rsidRPr="003057B2" w:rsidRDefault="007B4D76" w:rsidP="007B4D76">
            <w:pPr>
              <w:pStyle w:val="ListParagraph"/>
              <w:spacing w:line="240" w:lineRule="auto"/>
              <w:ind w:left="163"/>
              <w:jc w:val="both"/>
              <w:rPr>
                <w:rFonts w:asciiTheme="majorHAnsi" w:eastAsia="Arial Unicode MS" w:hAnsiTheme="majorHAnsi" w:cstheme="majorHAnsi"/>
                <w:bCs/>
                <w:color w:val="auto"/>
                <w:lang w:val="es-419"/>
              </w:rPr>
            </w:pPr>
          </w:p>
          <w:p w14:paraId="04DF5371" w14:textId="6CD500CE" w:rsidR="0070693B" w:rsidRPr="003057B2" w:rsidRDefault="00941DF0" w:rsidP="0070693B">
            <w:pPr>
              <w:spacing w:line="240" w:lineRule="auto"/>
              <w:rPr>
                <w:rFonts w:asciiTheme="majorHAnsi" w:eastAsia="Arial Unicode MS" w:hAnsiTheme="majorHAnsi" w:cstheme="majorHAnsi"/>
                <w:b/>
                <w:color w:val="auto"/>
                <w:lang w:val="es-ES"/>
              </w:rPr>
            </w:pPr>
            <w:r w:rsidRPr="003057B2">
              <w:rPr>
                <w:rFonts w:asciiTheme="majorHAnsi" w:eastAsia="Arial Unicode MS" w:hAnsiTheme="majorHAnsi" w:cstheme="majorHAnsi"/>
                <w:b/>
                <w:color w:val="auto"/>
                <w:lang w:val="es-ES"/>
              </w:rPr>
              <w:t>CONOCIMIENTOS ESPECÍFICOS</w:t>
            </w:r>
            <w:r w:rsidR="0070693B" w:rsidRPr="003057B2">
              <w:rPr>
                <w:rFonts w:asciiTheme="majorHAnsi" w:eastAsia="Arial Unicode MS" w:hAnsiTheme="majorHAnsi" w:cstheme="majorHAnsi"/>
                <w:b/>
                <w:color w:val="auto"/>
                <w:lang w:val="es-ES"/>
              </w:rPr>
              <w:t xml:space="preserve">. – </w:t>
            </w:r>
          </w:p>
          <w:p w14:paraId="01A73424" w14:textId="77777777" w:rsidR="007B4D76" w:rsidRPr="003057B2" w:rsidRDefault="007B4D76" w:rsidP="007B4D76">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419"/>
              </w:rPr>
              <w:t xml:space="preserve">Conocimientos de la estructura institucional del Estado y descentralización.  </w:t>
            </w:r>
          </w:p>
          <w:p w14:paraId="0688071F" w14:textId="77777777" w:rsidR="007B4D76" w:rsidRPr="003057B2" w:rsidRDefault="007B4D76" w:rsidP="007B4D76">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419"/>
              </w:rPr>
              <w:t xml:space="preserve">Capacidad demostrable de análisis y generación de recomendaciones en base a evidencia. </w:t>
            </w:r>
          </w:p>
          <w:p w14:paraId="218698BE" w14:textId="35A842B4" w:rsidR="009D660B" w:rsidRPr="003057B2" w:rsidRDefault="009D660B"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419"/>
              </w:rPr>
              <w:t>M</w:t>
            </w:r>
            <w:r w:rsidR="00075BA9" w:rsidRPr="003057B2">
              <w:rPr>
                <w:rFonts w:asciiTheme="majorHAnsi" w:eastAsia="Arial Unicode MS" w:hAnsiTheme="majorHAnsi" w:cstheme="majorHAnsi"/>
                <w:bCs/>
                <w:color w:val="auto"/>
                <w:lang w:val="es-419"/>
              </w:rPr>
              <w:t>étodos cualitativos y cuantitativos para el análisis y evaluación de programas y proyectos sociales</w:t>
            </w:r>
            <w:r w:rsidRPr="003057B2">
              <w:rPr>
                <w:rFonts w:asciiTheme="majorHAnsi" w:eastAsia="Arial Unicode MS" w:hAnsiTheme="majorHAnsi" w:cstheme="majorHAnsi"/>
                <w:bCs/>
                <w:color w:val="auto"/>
                <w:lang w:val="es-419"/>
              </w:rPr>
              <w:t>;</w:t>
            </w:r>
            <w:r w:rsidR="00075BA9" w:rsidRPr="003057B2">
              <w:rPr>
                <w:rFonts w:asciiTheme="majorHAnsi" w:eastAsia="Arial Unicode MS" w:hAnsiTheme="majorHAnsi" w:cstheme="majorHAnsi"/>
                <w:bCs/>
                <w:color w:val="auto"/>
                <w:lang w:val="es-419"/>
              </w:rPr>
              <w:t xml:space="preserve"> </w:t>
            </w:r>
          </w:p>
          <w:p w14:paraId="00BA3E38" w14:textId="48DC0007" w:rsidR="009D660B" w:rsidRPr="003057B2" w:rsidRDefault="009D660B"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419"/>
              </w:rPr>
              <w:t>Conocimientos sobre el e</w:t>
            </w:r>
            <w:r w:rsidR="00075BA9" w:rsidRPr="003057B2">
              <w:rPr>
                <w:rFonts w:asciiTheme="majorHAnsi" w:eastAsia="Arial Unicode MS" w:hAnsiTheme="majorHAnsi" w:cstheme="majorHAnsi"/>
                <w:bCs/>
                <w:color w:val="auto"/>
                <w:lang w:val="es-419"/>
              </w:rPr>
              <w:t>nfoque de derechos</w:t>
            </w:r>
            <w:r w:rsidRPr="003057B2">
              <w:rPr>
                <w:rFonts w:asciiTheme="majorHAnsi" w:eastAsia="Arial Unicode MS" w:hAnsiTheme="majorHAnsi" w:cstheme="majorHAnsi"/>
                <w:bCs/>
                <w:color w:val="auto"/>
                <w:lang w:val="es-419"/>
              </w:rPr>
              <w:t xml:space="preserve"> humanos</w:t>
            </w:r>
            <w:r w:rsidR="00075BA9" w:rsidRPr="003057B2">
              <w:rPr>
                <w:rFonts w:asciiTheme="majorHAnsi" w:eastAsia="Arial Unicode MS" w:hAnsiTheme="majorHAnsi" w:cstheme="majorHAnsi"/>
                <w:bCs/>
                <w:color w:val="auto"/>
                <w:lang w:val="es-419"/>
              </w:rPr>
              <w:t xml:space="preserve"> y sobre todo en derechos de</w:t>
            </w:r>
            <w:r w:rsidRPr="003057B2">
              <w:rPr>
                <w:rFonts w:asciiTheme="majorHAnsi" w:eastAsia="Arial Unicode MS" w:hAnsiTheme="majorHAnsi" w:cstheme="majorHAnsi"/>
                <w:bCs/>
                <w:color w:val="auto"/>
                <w:lang w:val="es-419"/>
              </w:rPr>
              <w:t xml:space="preserve"> la</w:t>
            </w:r>
            <w:r w:rsidR="00075BA9" w:rsidRPr="003057B2">
              <w:rPr>
                <w:rFonts w:asciiTheme="majorHAnsi" w:eastAsia="Arial Unicode MS" w:hAnsiTheme="majorHAnsi" w:cstheme="majorHAnsi"/>
                <w:bCs/>
                <w:color w:val="auto"/>
                <w:lang w:val="es-419"/>
              </w:rPr>
              <w:t>s niñ</w:t>
            </w:r>
            <w:r w:rsidRPr="003057B2">
              <w:rPr>
                <w:rFonts w:asciiTheme="majorHAnsi" w:eastAsia="Arial Unicode MS" w:hAnsiTheme="majorHAnsi" w:cstheme="majorHAnsi"/>
                <w:bCs/>
                <w:color w:val="auto"/>
                <w:lang w:val="es-419"/>
              </w:rPr>
              <w:t>a</w:t>
            </w:r>
            <w:r w:rsidR="00075BA9" w:rsidRPr="003057B2">
              <w:rPr>
                <w:rFonts w:asciiTheme="majorHAnsi" w:eastAsia="Arial Unicode MS" w:hAnsiTheme="majorHAnsi" w:cstheme="majorHAnsi"/>
                <w:bCs/>
                <w:color w:val="auto"/>
                <w:lang w:val="es-419"/>
              </w:rPr>
              <w:t>s, niñ</w:t>
            </w:r>
            <w:r w:rsidRPr="003057B2">
              <w:rPr>
                <w:rFonts w:asciiTheme="majorHAnsi" w:eastAsia="Arial Unicode MS" w:hAnsiTheme="majorHAnsi" w:cstheme="majorHAnsi"/>
                <w:bCs/>
                <w:color w:val="auto"/>
                <w:lang w:val="es-419"/>
              </w:rPr>
              <w:t>o</w:t>
            </w:r>
            <w:r w:rsidR="00075BA9" w:rsidRPr="003057B2">
              <w:rPr>
                <w:rFonts w:asciiTheme="majorHAnsi" w:eastAsia="Arial Unicode MS" w:hAnsiTheme="majorHAnsi" w:cstheme="majorHAnsi"/>
                <w:bCs/>
                <w:color w:val="auto"/>
                <w:lang w:val="es-419"/>
              </w:rPr>
              <w:t>s y adolescentes</w:t>
            </w:r>
            <w:r w:rsidRPr="003057B2">
              <w:rPr>
                <w:rFonts w:asciiTheme="majorHAnsi" w:eastAsia="Arial Unicode MS" w:hAnsiTheme="majorHAnsi" w:cstheme="majorHAnsi"/>
                <w:bCs/>
                <w:color w:val="auto"/>
                <w:lang w:val="es-419"/>
              </w:rPr>
              <w:t>;</w:t>
            </w:r>
            <w:r w:rsidR="00075BA9" w:rsidRPr="003057B2">
              <w:rPr>
                <w:rFonts w:asciiTheme="majorHAnsi" w:eastAsia="Arial Unicode MS" w:hAnsiTheme="majorHAnsi" w:cstheme="majorHAnsi"/>
                <w:bCs/>
                <w:color w:val="auto"/>
                <w:lang w:val="es-419"/>
              </w:rPr>
              <w:t xml:space="preserve"> </w:t>
            </w:r>
          </w:p>
          <w:p w14:paraId="3AF9D586" w14:textId="4DF8597D" w:rsidR="00161B98" w:rsidRPr="003057B2" w:rsidRDefault="00161B98"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419"/>
              </w:rPr>
              <w:t>Conocimiento de derechos en salud sexual y reproductiva.</w:t>
            </w:r>
          </w:p>
          <w:p w14:paraId="511DB42F" w14:textId="77777777" w:rsidR="00413FFD" w:rsidRPr="003057B2" w:rsidRDefault="00413FFD" w:rsidP="0070693B">
            <w:pPr>
              <w:spacing w:line="240" w:lineRule="auto"/>
              <w:rPr>
                <w:rFonts w:asciiTheme="majorHAnsi" w:eastAsia="Arial Unicode MS" w:hAnsiTheme="majorHAnsi" w:cstheme="majorHAnsi"/>
                <w:b/>
                <w:color w:val="auto"/>
                <w:lang w:val="es-ES"/>
              </w:rPr>
            </w:pPr>
          </w:p>
          <w:p w14:paraId="0690B886" w14:textId="71E894EC" w:rsidR="0070693B" w:rsidRPr="003057B2" w:rsidRDefault="00941DF0" w:rsidP="0070693B">
            <w:pPr>
              <w:spacing w:line="240" w:lineRule="auto"/>
              <w:rPr>
                <w:rFonts w:asciiTheme="majorHAnsi" w:eastAsia="Arial Unicode MS" w:hAnsiTheme="majorHAnsi" w:cstheme="majorHAnsi"/>
                <w:b/>
                <w:color w:val="auto"/>
                <w:lang w:val="es-ES"/>
              </w:rPr>
            </w:pPr>
            <w:r w:rsidRPr="003057B2">
              <w:rPr>
                <w:rFonts w:asciiTheme="majorHAnsi" w:eastAsia="Arial Unicode MS" w:hAnsiTheme="majorHAnsi" w:cstheme="majorHAnsi"/>
                <w:b/>
                <w:color w:val="auto"/>
                <w:lang w:val="es-ES"/>
              </w:rPr>
              <w:t>OTROS</w:t>
            </w:r>
            <w:r w:rsidR="0070693B" w:rsidRPr="003057B2">
              <w:rPr>
                <w:rFonts w:asciiTheme="majorHAnsi" w:eastAsia="Arial Unicode MS" w:hAnsiTheme="majorHAnsi" w:cstheme="majorHAnsi"/>
                <w:b/>
                <w:color w:val="auto"/>
                <w:lang w:val="es-ES"/>
              </w:rPr>
              <w:t xml:space="preserve">. </w:t>
            </w:r>
            <w:r w:rsidR="005C0660" w:rsidRPr="003057B2">
              <w:rPr>
                <w:rFonts w:asciiTheme="majorHAnsi" w:eastAsia="Arial Unicode MS" w:hAnsiTheme="majorHAnsi" w:cstheme="majorHAnsi"/>
                <w:b/>
                <w:color w:val="auto"/>
                <w:lang w:val="es-ES"/>
              </w:rPr>
              <w:t>–</w:t>
            </w:r>
            <w:r w:rsidR="0070693B" w:rsidRPr="003057B2">
              <w:rPr>
                <w:rFonts w:asciiTheme="majorHAnsi" w:eastAsia="Arial Unicode MS" w:hAnsiTheme="majorHAnsi" w:cstheme="majorHAnsi"/>
                <w:b/>
                <w:color w:val="auto"/>
                <w:lang w:val="es-ES"/>
              </w:rPr>
              <w:t xml:space="preserve"> </w:t>
            </w:r>
          </w:p>
          <w:p w14:paraId="6FA3AF7B" w14:textId="37DD501A" w:rsidR="009D660B" w:rsidRPr="003057B2" w:rsidRDefault="009D660B"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419"/>
              </w:rPr>
              <w:t>Tener nacionalidad boliviana o permiso para trabajar en territorio boliviano;</w:t>
            </w:r>
          </w:p>
          <w:p w14:paraId="3939942A" w14:textId="44C5EC6C" w:rsidR="009D660B" w:rsidRPr="003057B2" w:rsidRDefault="00075BA9" w:rsidP="009A6ED4">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419"/>
              </w:rPr>
              <w:t>Capacidad en redacción de informes y documentos</w:t>
            </w:r>
            <w:r w:rsidR="009D660B" w:rsidRPr="003057B2">
              <w:rPr>
                <w:rFonts w:asciiTheme="majorHAnsi" w:eastAsia="Arial Unicode MS" w:hAnsiTheme="majorHAnsi" w:cstheme="majorHAnsi"/>
                <w:bCs/>
                <w:color w:val="auto"/>
                <w:lang w:val="es-419"/>
              </w:rPr>
              <w:t xml:space="preserve"> y de </w:t>
            </w:r>
            <w:r w:rsidRPr="003057B2">
              <w:rPr>
                <w:rFonts w:asciiTheme="majorHAnsi" w:eastAsia="Arial Unicode MS" w:hAnsiTheme="majorHAnsi" w:cstheme="majorHAnsi"/>
                <w:bCs/>
                <w:color w:val="auto"/>
                <w:lang w:val="es-419"/>
              </w:rPr>
              <w:t>síntesi</w:t>
            </w:r>
            <w:r w:rsidR="009D660B" w:rsidRPr="003057B2">
              <w:rPr>
                <w:rFonts w:asciiTheme="majorHAnsi" w:eastAsia="Arial Unicode MS" w:hAnsiTheme="majorHAnsi" w:cstheme="majorHAnsi"/>
                <w:bCs/>
                <w:color w:val="auto"/>
                <w:lang w:val="es-419"/>
              </w:rPr>
              <w:t>s;</w:t>
            </w:r>
          </w:p>
          <w:p w14:paraId="38482C17" w14:textId="77777777" w:rsidR="009D660B" w:rsidRPr="003057B2" w:rsidRDefault="009D660B"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419"/>
              </w:rPr>
              <w:t>C</w:t>
            </w:r>
            <w:r w:rsidR="00075BA9" w:rsidRPr="003057B2">
              <w:rPr>
                <w:rFonts w:asciiTheme="majorHAnsi" w:eastAsia="Arial Unicode MS" w:hAnsiTheme="majorHAnsi" w:cstheme="majorHAnsi"/>
                <w:bCs/>
                <w:color w:val="auto"/>
                <w:lang w:val="es-419"/>
              </w:rPr>
              <w:t>apacidad de razonamiento analítico y técnico de información cuali</w:t>
            </w:r>
            <w:r w:rsidRPr="003057B2">
              <w:rPr>
                <w:rFonts w:asciiTheme="majorHAnsi" w:eastAsia="Arial Unicode MS" w:hAnsiTheme="majorHAnsi" w:cstheme="majorHAnsi"/>
                <w:bCs/>
                <w:color w:val="auto"/>
                <w:lang w:val="es-419"/>
              </w:rPr>
              <w:t xml:space="preserve">tativa y </w:t>
            </w:r>
            <w:r w:rsidR="00075BA9" w:rsidRPr="003057B2">
              <w:rPr>
                <w:rFonts w:asciiTheme="majorHAnsi" w:eastAsia="Arial Unicode MS" w:hAnsiTheme="majorHAnsi" w:cstheme="majorHAnsi"/>
                <w:bCs/>
                <w:color w:val="auto"/>
                <w:lang w:val="es-419"/>
              </w:rPr>
              <w:t>cuantitativa.</w:t>
            </w:r>
          </w:p>
          <w:p w14:paraId="4B42E911" w14:textId="77777777" w:rsidR="009D660B" w:rsidRPr="003057B2" w:rsidRDefault="00075BA9"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ES"/>
              </w:rPr>
              <w:t>Capacidad de expresión y comunicación;</w:t>
            </w:r>
          </w:p>
          <w:p w14:paraId="482968D6" w14:textId="77777777" w:rsidR="009D660B" w:rsidRPr="003057B2" w:rsidRDefault="00075BA9"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ES"/>
              </w:rPr>
              <w:t>Capacidad de trabajar bajo presión;</w:t>
            </w:r>
          </w:p>
          <w:p w14:paraId="50AC42DE" w14:textId="77777777" w:rsidR="009D660B" w:rsidRPr="003057B2" w:rsidRDefault="00075BA9"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ES"/>
              </w:rPr>
              <w:t>Buenas relaciones humanas;</w:t>
            </w:r>
          </w:p>
          <w:p w14:paraId="498B7D2A" w14:textId="6CC80672" w:rsidR="00075BA9" w:rsidRPr="003057B2" w:rsidRDefault="00075BA9"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3057B2">
              <w:rPr>
                <w:rFonts w:asciiTheme="majorHAnsi" w:eastAsia="Arial Unicode MS" w:hAnsiTheme="majorHAnsi" w:cstheme="majorHAnsi"/>
                <w:bCs/>
                <w:color w:val="auto"/>
                <w:lang w:val="es-ES"/>
              </w:rPr>
              <w:t>Se valorará experiencias de trabajos con</w:t>
            </w:r>
          </w:p>
          <w:p w14:paraId="65B3C09B" w14:textId="77777777" w:rsidR="009D660B" w:rsidRPr="003057B2" w:rsidRDefault="00075BA9" w:rsidP="009D660B">
            <w:pPr>
              <w:pStyle w:val="ListParagraph"/>
              <w:spacing w:line="240" w:lineRule="auto"/>
              <w:ind w:left="248"/>
              <w:rPr>
                <w:rFonts w:asciiTheme="majorHAnsi" w:eastAsia="Arial Unicode MS" w:hAnsiTheme="majorHAnsi" w:cstheme="majorHAnsi"/>
                <w:bCs/>
                <w:color w:val="auto"/>
                <w:lang w:val="es-ES"/>
              </w:rPr>
            </w:pPr>
            <w:r w:rsidRPr="003057B2">
              <w:rPr>
                <w:rFonts w:asciiTheme="majorHAnsi" w:eastAsia="Arial Unicode MS" w:hAnsiTheme="majorHAnsi" w:cstheme="majorHAnsi"/>
                <w:bCs/>
                <w:color w:val="auto"/>
                <w:lang w:val="es-ES"/>
              </w:rPr>
              <w:t>Organizaciones de Cooperación</w:t>
            </w:r>
            <w:r w:rsidR="009D660B" w:rsidRPr="003057B2">
              <w:rPr>
                <w:rFonts w:asciiTheme="majorHAnsi" w:eastAsia="Arial Unicode MS" w:hAnsiTheme="majorHAnsi" w:cstheme="majorHAnsi"/>
                <w:bCs/>
                <w:color w:val="auto"/>
                <w:lang w:val="es-ES"/>
              </w:rPr>
              <w:t xml:space="preserve"> </w:t>
            </w:r>
            <w:r w:rsidRPr="003057B2">
              <w:rPr>
                <w:rFonts w:asciiTheme="majorHAnsi" w:eastAsia="Arial Unicode MS" w:hAnsiTheme="majorHAnsi" w:cstheme="majorHAnsi"/>
                <w:bCs/>
                <w:color w:val="auto"/>
                <w:lang w:val="es-ES"/>
              </w:rPr>
              <w:t>Internacional;</w:t>
            </w:r>
          </w:p>
          <w:p w14:paraId="68C9F091" w14:textId="0563EE25" w:rsidR="00075BA9" w:rsidRPr="003057B2" w:rsidRDefault="00075BA9" w:rsidP="009D660B">
            <w:pPr>
              <w:pStyle w:val="ListParagraph"/>
              <w:spacing w:line="240" w:lineRule="auto"/>
              <w:ind w:left="248"/>
              <w:rPr>
                <w:rFonts w:asciiTheme="majorHAnsi" w:eastAsia="Arial Unicode MS" w:hAnsiTheme="majorHAnsi" w:cstheme="majorHAnsi"/>
                <w:bCs/>
                <w:color w:val="auto"/>
                <w:lang w:val="es-ES"/>
              </w:rPr>
            </w:pPr>
            <w:r w:rsidRPr="003057B2">
              <w:rPr>
                <w:rFonts w:asciiTheme="majorHAnsi" w:eastAsia="Arial Unicode MS" w:hAnsiTheme="majorHAnsi" w:cstheme="majorHAnsi"/>
                <w:bCs/>
                <w:color w:val="auto"/>
                <w:lang w:val="es-ES"/>
              </w:rPr>
              <w:t>Sensibilidad de Interculturalidad y de Género</w:t>
            </w:r>
          </w:p>
          <w:p w14:paraId="261EDE5E" w14:textId="5473029F" w:rsidR="00075BA9" w:rsidRPr="003057B2" w:rsidRDefault="00075BA9" w:rsidP="00075BA9">
            <w:pPr>
              <w:pStyle w:val="ListParagraph"/>
              <w:numPr>
                <w:ilvl w:val="0"/>
                <w:numId w:val="32"/>
              </w:numPr>
              <w:spacing w:line="240" w:lineRule="auto"/>
              <w:ind w:left="248" w:hanging="248"/>
              <w:rPr>
                <w:rFonts w:asciiTheme="majorHAnsi" w:eastAsia="Arial Unicode MS" w:hAnsiTheme="majorHAnsi" w:cstheme="majorHAnsi"/>
                <w:bCs/>
                <w:color w:val="auto"/>
                <w:lang w:val="es-ES"/>
              </w:rPr>
            </w:pPr>
            <w:r w:rsidRPr="003057B2">
              <w:rPr>
                <w:rFonts w:asciiTheme="majorHAnsi" w:eastAsia="Arial Unicode MS" w:hAnsiTheme="majorHAnsi" w:cstheme="majorHAnsi"/>
                <w:bCs/>
                <w:color w:val="auto"/>
                <w:lang w:val="es-ES"/>
              </w:rPr>
              <w:t>Sensibilidad de trabajo con personas con</w:t>
            </w:r>
          </w:p>
          <w:p w14:paraId="35779CD2" w14:textId="4D6403DD" w:rsidR="0070693B" w:rsidRPr="003057B2" w:rsidRDefault="00075BA9" w:rsidP="009D660B">
            <w:pPr>
              <w:pStyle w:val="ListParagraph"/>
              <w:spacing w:line="240" w:lineRule="auto"/>
              <w:ind w:left="248"/>
              <w:rPr>
                <w:rFonts w:asciiTheme="majorHAnsi" w:eastAsia="Arial Unicode MS" w:hAnsiTheme="majorHAnsi" w:cstheme="majorHAnsi"/>
                <w:bCs/>
                <w:color w:val="auto"/>
                <w:lang w:val="es-ES"/>
              </w:rPr>
            </w:pPr>
            <w:r w:rsidRPr="003057B2">
              <w:rPr>
                <w:rFonts w:asciiTheme="majorHAnsi" w:eastAsia="Arial Unicode MS" w:hAnsiTheme="majorHAnsi" w:cstheme="majorHAnsi"/>
                <w:bCs/>
                <w:color w:val="auto"/>
                <w:lang w:val="es-ES"/>
              </w:rPr>
              <w:t>capacidades diferentes.</w:t>
            </w:r>
          </w:p>
        </w:tc>
      </w:tr>
    </w:tbl>
    <w:p w14:paraId="264148B6" w14:textId="77777777" w:rsidR="00105A53" w:rsidRPr="00931ABC" w:rsidRDefault="00105A53" w:rsidP="00105A53">
      <w:pPr>
        <w:pStyle w:val="ListParagraph"/>
        <w:spacing w:before="60" w:line="240" w:lineRule="auto"/>
        <w:rPr>
          <w:rFonts w:asciiTheme="majorHAnsi" w:eastAsia="Arial Unicode MS" w:hAnsiTheme="majorHAnsi" w:cstheme="majorHAnsi"/>
          <w:color w:val="auto"/>
          <w:lang w:val="es-419"/>
        </w:rPr>
      </w:pPr>
    </w:p>
    <w:p w14:paraId="50AD9A1D" w14:textId="45A2635F" w:rsidR="00105A53" w:rsidRPr="00931ABC" w:rsidRDefault="00105A53" w:rsidP="00105A53">
      <w:pPr>
        <w:pStyle w:val="ListParagraph"/>
        <w:numPr>
          <w:ilvl w:val="0"/>
          <w:numId w:val="28"/>
        </w:numPr>
        <w:tabs>
          <w:tab w:val="left" w:pos="6228"/>
        </w:tabs>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 xml:space="preserve">DETALLES </w:t>
      </w:r>
      <w:r w:rsidR="00153BC2" w:rsidRPr="00931ABC">
        <w:rPr>
          <w:rFonts w:asciiTheme="majorHAnsi" w:eastAsia="Arial Unicode MS" w:hAnsiTheme="majorHAnsi" w:cstheme="majorHAnsi"/>
          <w:b/>
          <w:color w:val="auto"/>
          <w:lang w:val="es-419"/>
        </w:rPr>
        <w:t>ADMINISTRATIVOS. -</w:t>
      </w:r>
    </w:p>
    <w:p w14:paraId="4F406BE3" w14:textId="77777777" w:rsidR="00105A53" w:rsidRPr="00931ABC" w:rsidRDefault="00105A53" w:rsidP="00105A53">
      <w:pPr>
        <w:pStyle w:val="ListParagraph"/>
        <w:tabs>
          <w:tab w:val="left" w:pos="6228"/>
        </w:tabs>
        <w:rPr>
          <w:rFonts w:asciiTheme="majorHAnsi" w:eastAsia="Arial Unicode MS" w:hAnsiTheme="majorHAnsi" w:cstheme="majorHAnsi"/>
          <w:b/>
          <w:color w:val="auto"/>
          <w:lang w:val="es-419"/>
        </w:rPr>
      </w:pPr>
    </w:p>
    <w:tbl>
      <w:tblPr>
        <w:tblStyle w:val="TableGrid"/>
        <w:tblW w:w="10272" w:type="dxa"/>
        <w:tblLook w:val="04A0" w:firstRow="1" w:lastRow="0" w:firstColumn="1" w:lastColumn="0" w:noHBand="0" w:noVBand="1"/>
      </w:tblPr>
      <w:tblGrid>
        <w:gridCol w:w="10272"/>
      </w:tblGrid>
      <w:tr w:rsidR="000D4E0C" w:rsidRPr="00103826" w14:paraId="1D755164" w14:textId="77777777" w:rsidTr="000D4E0C">
        <w:trPr>
          <w:trHeight w:val="1024"/>
        </w:trPr>
        <w:tc>
          <w:tcPr>
            <w:tcW w:w="10272" w:type="dxa"/>
          </w:tcPr>
          <w:p w14:paraId="0A9BE5CD" w14:textId="77777777" w:rsidR="000D4E0C" w:rsidRDefault="000D4E0C" w:rsidP="003C4BE0">
            <w:pPr>
              <w:rPr>
                <w:rFonts w:asciiTheme="majorHAnsi" w:eastAsia="Arial Unicode MS" w:hAnsiTheme="majorHAnsi" w:cstheme="majorHAnsi"/>
                <w:i/>
                <w:iCs/>
                <w:color w:val="auto"/>
                <w:lang w:val="es-419"/>
              </w:rPr>
            </w:pPr>
          </w:p>
          <w:p w14:paraId="0F80D0E0" w14:textId="3A36AC0D" w:rsidR="000D4E0C" w:rsidRPr="00153BC2" w:rsidRDefault="000D4E0C" w:rsidP="003C4BE0">
            <w:pPr>
              <w:rPr>
                <w:rFonts w:asciiTheme="majorHAnsi" w:eastAsia="Arial Unicode MS" w:hAnsiTheme="majorHAnsi" w:cstheme="majorHAnsi"/>
                <w:i/>
                <w:iCs/>
                <w:color w:val="auto"/>
                <w:lang w:val="es-419"/>
              </w:rPr>
            </w:pPr>
            <w:r w:rsidRPr="00153BC2">
              <w:rPr>
                <w:rFonts w:asciiTheme="majorHAnsi" w:eastAsia="Arial Unicode MS" w:hAnsiTheme="majorHAnsi" w:cstheme="majorHAnsi"/>
                <w:i/>
                <w:iCs/>
                <w:color w:val="auto"/>
                <w:lang w:val="es-419"/>
              </w:rPr>
              <w:t>Nota- Consultores deben contar con su propio equipo, herramientas y materiales para desarrollar sus servicios. El acceso al email de UNICEF</w:t>
            </w:r>
            <w:r>
              <w:rPr>
                <w:rFonts w:asciiTheme="majorHAnsi" w:eastAsia="Arial Unicode MS" w:hAnsiTheme="majorHAnsi" w:cstheme="majorHAnsi"/>
                <w:i/>
                <w:iCs/>
                <w:color w:val="auto"/>
                <w:lang w:val="es-419"/>
              </w:rPr>
              <w:t xml:space="preserve"> y</w:t>
            </w:r>
            <w:r w:rsidRPr="00153BC2">
              <w:rPr>
                <w:rFonts w:asciiTheme="majorHAnsi" w:eastAsia="Arial Unicode MS" w:hAnsiTheme="majorHAnsi" w:cstheme="majorHAnsi"/>
                <w:i/>
                <w:iCs/>
                <w:color w:val="auto"/>
                <w:lang w:val="es-419"/>
              </w:rPr>
              <w:t xml:space="preserve"> a sus sistemas </w:t>
            </w:r>
            <w:r w:rsidR="00FE6ED9">
              <w:rPr>
                <w:rFonts w:asciiTheme="majorHAnsi" w:eastAsia="Arial Unicode MS" w:hAnsiTheme="majorHAnsi" w:cstheme="majorHAnsi"/>
                <w:i/>
                <w:iCs/>
                <w:color w:val="auto"/>
                <w:lang w:val="es-419"/>
              </w:rPr>
              <w:t>son</w:t>
            </w:r>
            <w:r w:rsidRPr="00153BC2">
              <w:rPr>
                <w:rFonts w:asciiTheme="majorHAnsi" w:eastAsia="Arial Unicode MS" w:hAnsiTheme="majorHAnsi" w:cstheme="majorHAnsi"/>
                <w:i/>
                <w:iCs/>
                <w:color w:val="auto"/>
                <w:lang w:val="es-419"/>
              </w:rPr>
              <w:t xml:space="preserve"> restringidos.</w:t>
            </w:r>
          </w:p>
          <w:p w14:paraId="30357AEC" w14:textId="286DFFA5" w:rsidR="000D4E0C" w:rsidRPr="00931ABC" w:rsidRDefault="000D4E0C" w:rsidP="003C4BE0">
            <w:pPr>
              <w:rPr>
                <w:rFonts w:asciiTheme="majorHAnsi" w:eastAsia="Arial Unicode MS" w:hAnsiTheme="majorHAnsi" w:cstheme="majorHAnsi"/>
                <w:color w:val="auto"/>
                <w:lang w:val="es-419"/>
              </w:rPr>
            </w:pPr>
          </w:p>
        </w:tc>
      </w:tr>
    </w:tbl>
    <w:p w14:paraId="41423E1A" w14:textId="66F65C44" w:rsidR="00105A53" w:rsidRDefault="00105A53" w:rsidP="0070693B">
      <w:pPr>
        <w:tabs>
          <w:tab w:val="left" w:pos="4968"/>
        </w:tabs>
        <w:ind w:left="113"/>
        <w:rPr>
          <w:rFonts w:asciiTheme="majorHAnsi" w:eastAsia="Arial Unicode MS" w:hAnsiTheme="majorHAnsi" w:cstheme="majorHAnsi"/>
          <w:b/>
          <w:color w:val="auto"/>
          <w:lang w:val="es-419"/>
        </w:rPr>
      </w:pPr>
    </w:p>
    <w:p w14:paraId="19661E7D" w14:textId="77777777" w:rsidR="00FE6ED9" w:rsidRDefault="00FE6ED9" w:rsidP="0070693B">
      <w:pPr>
        <w:tabs>
          <w:tab w:val="left" w:pos="4968"/>
        </w:tabs>
        <w:ind w:left="113"/>
        <w:rPr>
          <w:rFonts w:asciiTheme="majorHAnsi" w:eastAsia="Arial Unicode MS" w:hAnsiTheme="majorHAnsi" w:cstheme="majorHAnsi"/>
          <w:b/>
          <w:color w:val="auto"/>
          <w:lang w:val="es-419"/>
        </w:rPr>
      </w:pPr>
    </w:p>
    <w:p w14:paraId="78C3ABD6" w14:textId="77777777" w:rsidR="00FE6ED9" w:rsidRPr="00E63E14" w:rsidRDefault="00FE6ED9" w:rsidP="00FE6ED9">
      <w:pPr>
        <w:pStyle w:val="ListParagraph"/>
        <w:numPr>
          <w:ilvl w:val="0"/>
          <w:numId w:val="28"/>
        </w:numPr>
        <w:tabs>
          <w:tab w:val="left" w:pos="4968"/>
        </w:tabs>
        <w:rPr>
          <w:rFonts w:asciiTheme="majorHAnsi" w:hAnsiTheme="majorHAnsi" w:cstheme="majorHAnsi"/>
          <w:lang w:val="es-419"/>
        </w:rPr>
      </w:pPr>
      <w:r w:rsidRPr="00E63E14">
        <w:rPr>
          <w:rFonts w:asciiTheme="majorHAnsi" w:eastAsia="Arial Unicode MS" w:hAnsiTheme="majorHAnsi" w:cstheme="majorHAnsi"/>
          <w:b/>
          <w:color w:val="auto"/>
          <w:lang w:val="es-419"/>
        </w:rPr>
        <w:t xml:space="preserve">DOCUMENTACIÓN REQUERIDA PARA LA </w:t>
      </w:r>
      <w:proofErr w:type="gramStart"/>
      <w:r w:rsidRPr="00E63E14">
        <w:rPr>
          <w:rFonts w:asciiTheme="majorHAnsi" w:eastAsia="Arial Unicode MS" w:hAnsiTheme="majorHAnsi" w:cstheme="majorHAnsi"/>
          <w:b/>
          <w:color w:val="auto"/>
          <w:lang w:val="es-419"/>
        </w:rPr>
        <w:t>POSTULACIÓN.-</w:t>
      </w:r>
      <w:proofErr w:type="gramEnd"/>
    </w:p>
    <w:p w14:paraId="05A41DD7" w14:textId="77777777" w:rsidR="00FE6ED9" w:rsidRPr="00DF793C" w:rsidRDefault="00FE6ED9" w:rsidP="00FE6ED9">
      <w:pPr>
        <w:rPr>
          <w:rFonts w:asciiTheme="majorHAnsi" w:eastAsia="Arial Unicode MS" w:hAnsiTheme="majorHAnsi" w:cstheme="majorHAnsi"/>
          <w:color w:val="auto"/>
          <w:lang w:val="es-419"/>
        </w:rPr>
      </w:pPr>
    </w:p>
    <w:p w14:paraId="04198691" w14:textId="77777777" w:rsidR="00FE6ED9" w:rsidRPr="00DF793C" w:rsidRDefault="00FE6ED9" w:rsidP="00FE6ED9">
      <w:pPr>
        <w:pStyle w:val="Default"/>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Las personas interesadas deben registrarse en Página de Oportunidades de Naciones Unidas: </w:t>
      </w:r>
      <w:hyperlink r:id="rId14">
        <w:r w:rsidRPr="00DF793C">
          <w:rPr>
            <w:rFonts w:asciiTheme="majorHAnsi" w:eastAsia="Arial Unicode MS" w:hAnsiTheme="majorHAnsi" w:cstheme="majorHAnsi"/>
            <w:color w:val="auto"/>
            <w:sz w:val="20"/>
            <w:szCs w:val="20"/>
            <w:lang w:val="es-419"/>
          </w:rPr>
          <w:t>http://www.oportunidades.onu.org.bo</w:t>
        </w:r>
      </w:hyperlink>
      <w:r w:rsidRPr="00DF793C">
        <w:rPr>
          <w:rFonts w:asciiTheme="majorHAnsi" w:eastAsia="Arial Unicode MS" w:hAnsiTheme="majorHAnsi" w:cstheme="majorHAnsi"/>
          <w:color w:val="auto"/>
          <w:sz w:val="20"/>
          <w:szCs w:val="20"/>
          <w:lang w:val="es-419"/>
        </w:rPr>
        <w:t xml:space="preserve">, adjuntando la siguiente documentación: </w:t>
      </w:r>
    </w:p>
    <w:p w14:paraId="624C2AC3" w14:textId="77777777" w:rsidR="00FE6ED9" w:rsidRPr="00DF793C" w:rsidRDefault="00FE6ED9" w:rsidP="00FE6ED9">
      <w:pPr>
        <w:pStyle w:val="Default"/>
        <w:jc w:val="both"/>
        <w:rPr>
          <w:rFonts w:asciiTheme="majorHAnsi" w:eastAsia="Arial Unicode MS" w:hAnsiTheme="majorHAnsi" w:cstheme="majorHAnsi"/>
          <w:color w:val="auto"/>
          <w:sz w:val="20"/>
          <w:szCs w:val="20"/>
          <w:lang w:val="es-419"/>
        </w:rPr>
      </w:pPr>
    </w:p>
    <w:p w14:paraId="1F115CA0" w14:textId="77777777" w:rsidR="00FE6ED9" w:rsidRPr="00DF793C" w:rsidRDefault="00FE6ED9" w:rsidP="00FE6ED9">
      <w:pPr>
        <w:pStyle w:val="Default"/>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1.- </w:t>
      </w:r>
      <w:proofErr w:type="gramStart"/>
      <w:r w:rsidRPr="00DF793C">
        <w:rPr>
          <w:rFonts w:asciiTheme="majorHAnsi" w:eastAsia="Arial Unicode MS" w:hAnsiTheme="majorHAnsi" w:cstheme="majorHAnsi"/>
          <w:color w:val="auto"/>
          <w:sz w:val="20"/>
          <w:szCs w:val="20"/>
          <w:lang w:val="es-419"/>
        </w:rPr>
        <w:t>Carnet</w:t>
      </w:r>
      <w:proofErr w:type="gramEnd"/>
      <w:r w:rsidRPr="00DF793C">
        <w:rPr>
          <w:rFonts w:asciiTheme="majorHAnsi" w:eastAsia="Arial Unicode MS" w:hAnsiTheme="majorHAnsi" w:cstheme="majorHAnsi"/>
          <w:color w:val="auto"/>
          <w:sz w:val="20"/>
          <w:szCs w:val="20"/>
          <w:lang w:val="es-419"/>
        </w:rPr>
        <w:t xml:space="preserve"> de vacunación </w:t>
      </w:r>
      <w:r>
        <w:rPr>
          <w:rFonts w:asciiTheme="majorHAnsi" w:eastAsia="Arial Unicode MS" w:hAnsiTheme="majorHAnsi" w:cstheme="majorHAnsi"/>
          <w:color w:val="auto"/>
          <w:sz w:val="20"/>
          <w:szCs w:val="20"/>
          <w:lang w:val="es-419"/>
        </w:rPr>
        <w:t xml:space="preserve">de COVID </w:t>
      </w:r>
      <w:r w:rsidRPr="00DF793C">
        <w:rPr>
          <w:rFonts w:asciiTheme="majorHAnsi" w:eastAsia="Arial Unicode MS" w:hAnsiTheme="majorHAnsi" w:cstheme="majorHAnsi"/>
          <w:color w:val="auto"/>
          <w:sz w:val="20"/>
          <w:szCs w:val="20"/>
          <w:lang w:val="es-419"/>
        </w:rPr>
        <w:t xml:space="preserve">con al menos las dos dosis de esquema de vacunación </w:t>
      </w:r>
    </w:p>
    <w:p w14:paraId="781B1B2C" w14:textId="77777777" w:rsidR="00FE6ED9" w:rsidRPr="00DF793C" w:rsidRDefault="00FE6ED9" w:rsidP="00FE6ED9">
      <w:pPr>
        <w:pStyle w:val="Default"/>
        <w:spacing w:after="11"/>
        <w:jc w:val="both"/>
        <w:rPr>
          <w:rFonts w:asciiTheme="majorHAnsi" w:eastAsia="Arial Unicode MS" w:hAnsiTheme="majorHAnsi" w:cstheme="majorHAnsi"/>
          <w:color w:val="auto"/>
          <w:sz w:val="20"/>
          <w:szCs w:val="20"/>
          <w:lang w:val="es-419"/>
        </w:rPr>
      </w:pPr>
    </w:p>
    <w:p w14:paraId="42EE57E7" w14:textId="77777777" w:rsidR="00FE6ED9" w:rsidRDefault="00FE6ED9" w:rsidP="00FE6ED9">
      <w:pPr>
        <w:pStyle w:val="Default"/>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2.- Una carta de intención donde incluya una propuesta económica en moneda local (bolivianos) expresada como monto total por la consultoría</w:t>
      </w:r>
      <w:r w:rsidRPr="00F23C5A">
        <w:rPr>
          <w:rFonts w:asciiTheme="majorHAnsi" w:eastAsia="Arial Unicode MS" w:hAnsiTheme="majorHAnsi" w:cstheme="majorHAnsi"/>
          <w:color w:val="auto"/>
          <w:sz w:val="20"/>
          <w:szCs w:val="20"/>
          <w:lang w:val="es-419"/>
        </w:rPr>
        <w:t xml:space="preserve">.  </w:t>
      </w:r>
    </w:p>
    <w:p w14:paraId="4CAF0891" w14:textId="77777777" w:rsidR="00FE6ED9" w:rsidRDefault="00FE6ED9" w:rsidP="00FE6ED9">
      <w:pPr>
        <w:pStyle w:val="Default"/>
        <w:spacing w:after="11"/>
        <w:jc w:val="both"/>
        <w:rPr>
          <w:rFonts w:asciiTheme="majorHAnsi" w:eastAsia="Arial Unicode MS" w:hAnsiTheme="majorHAnsi" w:cstheme="majorHAnsi"/>
          <w:color w:val="auto"/>
          <w:sz w:val="20"/>
          <w:szCs w:val="20"/>
          <w:lang w:val="es-419"/>
        </w:rPr>
      </w:pPr>
    </w:p>
    <w:p w14:paraId="71E87FBC" w14:textId="77777777" w:rsidR="00FE6ED9" w:rsidRPr="00F23C5A" w:rsidRDefault="00FE6ED9" w:rsidP="00FE6ED9">
      <w:pPr>
        <w:pStyle w:val="Default"/>
        <w:spacing w:after="11"/>
        <w:jc w:val="both"/>
        <w:rPr>
          <w:rFonts w:asciiTheme="majorHAnsi" w:eastAsia="Arial Unicode MS" w:hAnsiTheme="majorHAnsi" w:cstheme="majorHAnsi"/>
          <w:color w:val="auto"/>
          <w:sz w:val="20"/>
          <w:szCs w:val="20"/>
          <w:lang w:val="es-419"/>
        </w:rPr>
      </w:pPr>
      <w:r>
        <w:rPr>
          <w:rFonts w:asciiTheme="majorHAnsi" w:eastAsia="Arial Unicode MS" w:hAnsiTheme="majorHAnsi" w:cstheme="majorHAnsi"/>
          <w:color w:val="auto"/>
          <w:sz w:val="20"/>
          <w:szCs w:val="20"/>
          <w:lang w:val="es-419"/>
        </w:rPr>
        <w:lastRenderedPageBreak/>
        <w:t xml:space="preserve">La modalidad del contrato es Lump </w:t>
      </w:r>
      <w:proofErr w:type="gramStart"/>
      <w:r>
        <w:rPr>
          <w:rFonts w:asciiTheme="majorHAnsi" w:eastAsia="Arial Unicode MS" w:hAnsiTheme="majorHAnsi" w:cstheme="majorHAnsi"/>
          <w:color w:val="auto"/>
          <w:sz w:val="20"/>
          <w:szCs w:val="20"/>
          <w:lang w:val="es-419"/>
        </w:rPr>
        <w:t>Sum</w:t>
      </w:r>
      <w:proofErr w:type="gramEnd"/>
      <w:r>
        <w:rPr>
          <w:rFonts w:asciiTheme="majorHAnsi" w:eastAsia="Arial Unicode MS" w:hAnsiTheme="majorHAnsi" w:cstheme="majorHAnsi"/>
          <w:color w:val="auto"/>
          <w:sz w:val="20"/>
          <w:szCs w:val="20"/>
          <w:lang w:val="es-419"/>
        </w:rPr>
        <w:t xml:space="preserve">, es decir que el monto del contrato cubre honorarios, gastos de viajes (hospedaje, alimentación, transporte, comunicaciones, etc.), impuestos y cualquier otro concepto vinculado al logro de los productos. </w:t>
      </w:r>
      <w:r w:rsidRPr="00F23C5A">
        <w:rPr>
          <w:rFonts w:asciiTheme="majorHAnsi" w:eastAsia="Arial Unicode MS" w:hAnsiTheme="majorHAnsi" w:cstheme="majorHAnsi"/>
          <w:color w:val="auto"/>
          <w:sz w:val="20"/>
          <w:szCs w:val="20"/>
          <w:lang w:val="es-419"/>
        </w:rPr>
        <w:t>C</w:t>
      </w:r>
      <w:r>
        <w:rPr>
          <w:rFonts w:asciiTheme="majorHAnsi" w:eastAsia="Arial Unicode MS" w:hAnsiTheme="majorHAnsi" w:cstheme="majorHAnsi"/>
          <w:color w:val="auto"/>
          <w:sz w:val="20"/>
          <w:szCs w:val="20"/>
          <w:lang w:val="es-419"/>
        </w:rPr>
        <w:t xml:space="preserve">ada </w:t>
      </w:r>
      <w:r w:rsidRPr="00DF793C">
        <w:rPr>
          <w:rFonts w:asciiTheme="majorHAnsi" w:eastAsia="Arial Unicode MS" w:hAnsiTheme="majorHAnsi" w:cstheme="majorHAnsi"/>
          <w:color w:val="auto"/>
          <w:sz w:val="20"/>
          <w:szCs w:val="20"/>
          <w:lang w:val="es-419"/>
        </w:rPr>
        <w:t>desembolso</w:t>
      </w:r>
      <w:r>
        <w:rPr>
          <w:rFonts w:asciiTheme="majorHAnsi" w:eastAsia="Arial Unicode MS" w:hAnsiTheme="majorHAnsi" w:cstheme="majorHAnsi"/>
          <w:color w:val="auto"/>
          <w:sz w:val="20"/>
          <w:szCs w:val="20"/>
          <w:lang w:val="es-419"/>
        </w:rPr>
        <w:t xml:space="preserve"> del contrato debe estar </w:t>
      </w:r>
      <w:r w:rsidRPr="00DF793C">
        <w:rPr>
          <w:rFonts w:asciiTheme="majorHAnsi" w:eastAsia="Arial Unicode MS" w:hAnsiTheme="majorHAnsi" w:cstheme="majorHAnsi"/>
          <w:color w:val="auto"/>
          <w:sz w:val="20"/>
          <w:szCs w:val="20"/>
          <w:lang w:val="es-419"/>
        </w:rPr>
        <w:t>respaldo</w:t>
      </w:r>
      <w:r>
        <w:rPr>
          <w:rFonts w:asciiTheme="majorHAnsi" w:eastAsia="Arial Unicode MS" w:hAnsiTheme="majorHAnsi" w:cstheme="majorHAnsi"/>
          <w:color w:val="auto"/>
          <w:sz w:val="20"/>
          <w:szCs w:val="20"/>
          <w:lang w:val="es-419"/>
        </w:rPr>
        <w:t xml:space="preserve"> por la </w:t>
      </w:r>
      <w:r w:rsidRPr="00DF793C">
        <w:rPr>
          <w:rFonts w:asciiTheme="majorHAnsi" w:eastAsia="Arial Unicode MS" w:hAnsiTheme="majorHAnsi" w:cstheme="majorHAnsi"/>
          <w:color w:val="auto"/>
          <w:sz w:val="20"/>
          <w:szCs w:val="20"/>
          <w:lang w:val="es-419"/>
        </w:rPr>
        <w:t>factura correspondiente</w:t>
      </w:r>
      <w:r>
        <w:rPr>
          <w:rFonts w:asciiTheme="majorHAnsi" w:eastAsia="Arial Unicode MS" w:hAnsiTheme="majorHAnsi" w:cstheme="majorHAnsi"/>
          <w:color w:val="auto"/>
          <w:sz w:val="20"/>
          <w:szCs w:val="20"/>
          <w:lang w:val="es-419"/>
        </w:rPr>
        <w:t xml:space="preserve"> emitida por el consultor y no hay pagos o reembolsos por fuera del monto establecido en el contrato.</w:t>
      </w:r>
    </w:p>
    <w:p w14:paraId="7F79400F" w14:textId="77777777" w:rsidR="00FE6ED9" w:rsidRDefault="00FE6ED9" w:rsidP="00FE6ED9">
      <w:pPr>
        <w:pStyle w:val="Default"/>
        <w:spacing w:after="11"/>
        <w:jc w:val="both"/>
        <w:rPr>
          <w:rFonts w:asciiTheme="majorHAnsi" w:eastAsia="Arial Unicode MS" w:hAnsiTheme="majorHAnsi" w:cstheme="majorHAnsi"/>
          <w:color w:val="auto"/>
          <w:sz w:val="20"/>
          <w:szCs w:val="20"/>
          <w:lang w:val="es-419"/>
        </w:rPr>
      </w:pPr>
    </w:p>
    <w:p w14:paraId="699B8DE3" w14:textId="77777777" w:rsidR="00FE6ED9" w:rsidRPr="00DF793C" w:rsidRDefault="00FE6ED9" w:rsidP="00FE6ED9">
      <w:pPr>
        <w:pStyle w:val="Default"/>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El candidato ganador del proceso deberá contar con un Seguro de Salud con cobertura de atención de consulta externa y hospitalización, UNICEF no tiene preferencia por ningún seguro en particular, puede ser público o privado, ser titular o beneficiario. Si el candidato no cuenta actualmente con un seguro de salud, es recomendable que incluya este costo en su presupuesto.</w:t>
      </w:r>
      <w:r>
        <w:rPr>
          <w:rFonts w:asciiTheme="majorHAnsi" w:eastAsia="Arial Unicode MS" w:hAnsiTheme="majorHAnsi" w:cstheme="majorHAnsi"/>
          <w:color w:val="auto"/>
          <w:sz w:val="20"/>
          <w:szCs w:val="20"/>
          <w:lang w:val="es-419"/>
        </w:rPr>
        <w:t xml:space="preserve">  </w:t>
      </w:r>
      <w:r w:rsidRPr="00DF793C">
        <w:rPr>
          <w:rFonts w:asciiTheme="majorHAnsi" w:eastAsia="Arial Unicode MS" w:hAnsiTheme="majorHAnsi" w:cstheme="majorHAnsi"/>
          <w:color w:val="auto"/>
          <w:sz w:val="20"/>
          <w:szCs w:val="20"/>
          <w:lang w:val="es-419"/>
        </w:rPr>
        <w:t xml:space="preserve">Los candidatos seleccionados son los únicos responsables de garantizar que el visado (si aplicable) y el seguro médico necesarios para desempeñar las funciones del contrato sean válidos durante todo el período del contrato. </w:t>
      </w:r>
    </w:p>
    <w:p w14:paraId="0F9F22D9" w14:textId="77777777" w:rsidR="00FE6ED9" w:rsidRPr="00EC155C" w:rsidRDefault="00FE6ED9" w:rsidP="00FE6ED9">
      <w:pPr>
        <w:pStyle w:val="Default"/>
        <w:jc w:val="both"/>
        <w:rPr>
          <w:rFonts w:ascii="Calibri" w:eastAsia="Calibri" w:hAnsi="Calibri" w:cs="Calibri"/>
          <w:b/>
          <w:bCs/>
          <w:color w:val="auto"/>
          <w:sz w:val="22"/>
          <w:szCs w:val="22"/>
          <w:lang w:val="es-ES"/>
        </w:rPr>
      </w:pPr>
      <w:r w:rsidRPr="00EC5294">
        <w:rPr>
          <w:rFonts w:ascii="Calibri" w:eastAsia="Calibri" w:hAnsi="Calibri" w:cs="Calibri"/>
          <w:b/>
          <w:bCs/>
          <w:color w:val="auto"/>
          <w:sz w:val="26"/>
          <w:szCs w:val="26"/>
          <w:lang w:val="es-ES"/>
        </w:rPr>
        <w:br/>
      </w:r>
      <w:r w:rsidRPr="00EC155C">
        <w:rPr>
          <w:rFonts w:asciiTheme="majorHAnsi" w:eastAsia="Arial Unicode MS" w:hAnsiTheme="majorHAnsi" w:cstheme="majorHAnsi"/>
          <w:b/>
          <w:bCs/>
          <w:color w:val="auto"/>
          <w:sz w:val="22"/>
          <w:szCs w:val="22"/>
          <w:lang w:val="es-419"/>
        </w:rPr>
        <w:t>CONSIDERACIONES ADMINISTRATIVAS IMPORTANTES:</w:t>
      </w:r>
      <w:r w:rsidRPr="00EC155C">
        <w:rPr>
          <w:rFonts w:ascii="Calibri" w:eastAsia="Calibri" w:hAnsi="Calibri" w:cs="Calibri"/>
          <w:b/>
          <w:bCs/>
          <w:color w:val="auto"/>
          <w:sz w:val="22"/>
          <w:szCs w:val="22"/>
          <w:lang w:val="es-ES"/>
        </w:rPr>
        <w:t xml:space="preserve">  </w:t>
      </w:r>
    </w:p>
    <w:p w14:paraId="67088917" w14:textId="77777777" w:rsidR="00FE6ED9" w:rsidRPr="00EC5294" w:rsidRDefault="00FE6ED9" w:rsidP="00FE6ED9">
      <w:pPr>
        <w:pStyle w:val="Default"/>
        <w:jc w:val="both"/>
        <w:rPr>
          <w:rFonts w:ascii="Calibri" w:eastAsia="Calibri" w:hAnsi="Calibri" w:cs="Calibri"/>
          <w:color w:val="auto"/>
          <w:sz w:val="22"/>
          <w:szCs w:val="22"/>
          <w:lang w:val="es-ES"/>
        </w:rPr>
      </w:pPr>
    </w:p>
    <w:p w14:paraId="4D802247" w14:textId="77777777" w:rsidR="00FE6ED9" w:rsidRPr="00DF793C" w:rsidRDefault="00FE6ED9" w:rsidP="00FE6ED9">
      <w:pPr>
        <w:pStyle w:val="Default"/>
        <w:numPr>
          <w:ilvl w:val="0"/>
          <w:numId w:val="40"/>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La emisión de factura es obligatoria por cada monto desembolsado. UNICEF solo recibe facturas emitidas por el consultor, no son recibidas facturas emitidas por otras personas o instituciones, tampoco formularios u otros descargos de pago de impuestos. Los consultores son responsables de cumplir con todas las obligaciones tributarias, de acuerdo con las leyes bolivianas y todas las normas aplicables. UNICEF promueve el cumplimiento de todas las leyes tributarias bolivianas relacionadas con la prestación de servicios de sus consultorías.</w:t>
      </w:r>
    </w:p>
    <w:p w14:paraId="47AFDF59" w14:textId="77777777" w:rsidR="00FE6ED9" w:rsidRPr="00DF793C" w:rsidRDefault="00FE6ED9" w:rsidP="00FE6ED9">
      <w:pPr>
        <w:pStyle w:val="Default"/>
        <w:spacing w:after="11"/>
        <w:jc w:val="both"/>
        <w:rPr>
          <w:rFonts w:asciiTheme="majorHAnsi" w:eastAsia="Arial Unicode MS" w:hAnsiTheme="majorHAnsi" w:cstheme="majorHAnsi"/>
          <w:color w:val="auto"/>
          <w:sz w:val="20"/>
          <w:szCs w:val="20"/>
          <w:lang w:val="es-419"/>
        </w:rPr>
      </w:pPr>
    </w:p>
    <w:p w14:paraId="41184634" w14:textId="77777777" w:rsidR="00FE6ED9" w:rsidRPr="00DF793C" w:rsidRDefault="00FE6ED9" w:rsidP="00FE6ED9">
      <w:pPr>
        <w:pStyle w:val="Default"/>
        <w:numPr>
          <w:ilvl w:val="0"/>
          <w:numId w:val="40"/>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Las personas contratadas en virtud de un contrato de consultor no se considerarán “miembros del personal” en virtud del Estatuto y Reglamento para el Personal de las Naciones Unidas y las políticas y procedimientos de UNICEF, y no tendrán derecho a las prestaciones previstas en el mismo (tales como, licencias y cobertura del seguro médico). Sus condiciones de servicio se regirán por su contrato y las Condiciones Generales de Contratación de Servicios de Consultores. Los consultores son responsables de determinar sus obligaciones tributarias y del pago de cualquier impuesto y/o tasa, de acuerdo con las leyes locales u otras leyes aplicables.</w:t>
      </w:r>
    </w:p>
    <w:p w14:paraId="5B4A0FCE" w14:textId="77777777" w:rsidR="00FE6ED9" w:rsidRPr="00EC5294" w:rsidRDefault="00FE6ED9" w:rsidP="00FE6ED9">
      <w:pPr>
        <w:pStyle w:val="ListParagraph"/>
        <w:tabs>
          <w:tab w:val="left" w:pos="450"/>
        </w:tabs>
        <w:ind w:left="0"/>
        <w:rPr>
          <w:color w:val="auto"/>
          <w:sz w:val="22"/>
          <w:lang w:val="es-ES"/>
        </w:rPr>
      </w:pPr>
    </w:p>
    <w:p w14:paraId="434D46A6" w14:textId="77777777" w:rsidR="00FE6ED9" w:rsidRDefault="00FE6ED9" w:rsidP="00FE6ED9">
      <w:pPr>
        <w:pStyle w:val="Default"/>
        <w:numPr>
          <w:ilvl w:val="0"/>
          <w:numId w:val="40"/>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Todos los consultores que prestan servicios en instalaciones de </w:t>
      </w:r>
      <w:proofErr w:type="gramStart"/>
      <w:r w:rsidRPr="00DF793C">
        <w:rPr>
          <w:rFonts w:asciiTheme="majorHAnsi" w:eastAsia="Arial Unicode MS" w:hAnsiTheme="majorHAnsi" w:cstheme="majorHAnsi"/>
          <w:color w:val="auto"/>
          <w:sz w:val="20"/>
          <w:szCs w:val="20"/>
          <w:lang w:val="es-419"/>
        </w:rPr>
        <w:t>UNICEF,</w:t>
      </w:r>
      <w:proofErr w:type="gramEnd"/>
      <w:r w:rsidRPr="00DF793C">
        <w:rPr>
          <w:rFonts w:asciiTheme="majorHAnsi" w:eastAsia="Arial Unicode MS" w:hAnsiTheme="majorHAnsi" w:cstheme="majorHAnsi"/>
          <w:color w:val="auto"/>
          <w:sz w:val="20"/>
          <w:szCs w:val="20"/>
          <w:lang w:val="es-419"/>
        </w:rPr>
        <w:t xml:space="preserve"> viajan en nombre de UNICEF o requieren acceso a los lugares de ejecución de los programas deben contar con el esquema completo de vacunación contra el SARS-CoV-2 (Covid-19) con una vacuna respaldada por la Organización Mundial de la Salud (OMS), de acuerdo a la disponibilidad del país de servicio.  Esta disposición está en línea con nuestro valor fundamental de crítico de Cuidado y Respeto en acción por su propia salud y cuidado personal, por la salud de los compañeros con los que trabaja y al mandato de UNICEF de proteger los derechos fundamentales de los niños, especialmente su derecho a la salud.</w:t>
      </w:r>
    </w:p>
    <w:p w14:paraId="069C2EF7" w14:textId="77777777" w:rsidR="00FE6ED9" w:rsidRDefault="00FE6ED9" w:rsidP="00FE6ED9">
      <w:pPr>
        <w:pStyle w:val="ListParagraph"/>
        <w:rPr>
          <w:rFonts w:asciiTheme="majorHAnsi" w:eastAsia="Arial Unicode MS" w:hAnsiTheme="majorHAnsi" w:cstheme="majorHAnsi"/>
          <w:color w:val="auto"/>
          <w:lang w:val="es-419"/>
        </w:rPr>
      </w:pPr>
    </w:p>
    <w:p w14:paraId="30C27959" w14:textId="77777777" w:rsidR="00FE6ED9" w:rsidRPr="00F23C5A" w:rsidRDefault="00FE6ED9" w:rsidP="00FE6ED9">
      <w:pPr>
        <w:pStyle w:val="Default"/>
        <w:spacing w:after="11"/>
        <w:ind w:left="720"/>
        <w:jc w:val="both"/>
        <w:rPr>
          <w:rFonts w:asciiTheme="majorHAnsi" w:eastAsia="Arial Unicode MS" w:hAnsiTheme="majorHAnsi" w:cstheme="majorHAnsi"/>
          <w:color w:val="auto"/>
          <w:sz w:val="20"/>
          <w:szCs w:val="20"/>
          <w:lang w:val="es-419"/>
        </w:rPr>
      </w:pPr>
      <w:r w:rsidRPr="00F23C5A">
        <w:rPr>
          <w:rFonts w:asciiTheme="majorHAnsi" w:eastAsia="Arial Unicode MS" w:hAnsiTheme="majorHAnsi" w:cstheme="majorHAnsi"/>
          <w:color w:val="auto"/>
          <w:sz w:val="20"/>
          <w:szCs w:val="20"/>
          <w:lang w:val="es-419"/>
        </w:rPr>
        <w:t xml:space="preserve">La vacunación completa incluye las dosis iniciales de la vacuna, además de estar "al día" con las vacunas recomendadas; por ejemplo, cuando estos incluyen vacunas de "refuerzo". La cantidad y los tipos de vacunas requeridas para cumplir con el requisito de vacunación completa pueden depender del contexto local y la disponibilidad en el lugar de destino, misión o área de asignación correspondiente, así como también de las indicaciones y recomendaciones del fabricante de la vacuna o de la Organización Mundial de la Salud.   La vacunación contra el SARS-CoV-2 (Covid-19) debe cumplirse antes del inicio del contrato. </w:t>
      </w:r>
    </w:p>
    <w:p w14:paraId="2FB606FA" w14:textId="77777777" w:rsidR="00FE6ED9" w:rsidRPr="00EC5294" w:rsidRDefault="00FE6ED9" w:rsidP="00FE6ED9">
      <w:pPr>
        <w:rPr>
          <w:color w:val="auto"/>
          <w:sz w:val="22"/>
          <w:lang w:val="es-ES"/>
        </w:rPr>
      </w:pPr>
    </w:p>
    <w:p w14:paraId="75366EC6" w14:textId="77777777" w:rsidR="00FE6ED9" w:rsidRPr="00DF793C" w:rsidRDefault="00FE6ED9" w:rsidP="00FE6ED9">
      <w:pPr>
        <w:pStyle w:val="Default"/>
        <w:numPr>
          <w:ilvl w:val="0"/>
          <w:numId w:val="40"/>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El candidato adjudicado deberá contar con una cuenta bancaria en bolivianos a nombre suyo y deberá proveer a la oficina la información mínima para su registro en el sistema contable. Asimismo, antes de iniciar sus tareas deberá realizar la capacitación online mandatoria de acuerdo con la normativa de la organización. </w:t>
      </w:r>
    </w:p>
    <w:p w14:paraId="4444867C" w14:textId="77777777" w:rsidR="00FE6ED9" w:rsidRPr="00DF793C" w:rsidRDefault="00FE6ED9" w:rsidP="00FE6ED9">
      <w:pPr>
        <w:pStyle w:val="Default"/>
        <w:spacing w:after="11"/>
        <w:ind w:left="720"/>
        <w:jc w:val="both"/>
        <w:rPr>
          <w:rFonts w:asciiTheme="majorHAnsi" w:eastAsia="Arial Unicode MS" w:hAnsiTheme="majorHAnsi" w:cstheme="majorHAnsi"/>
          <w:color w:val="auto"/>
          <w:sz w:val="20"/>
          <w:szCs w:val="20"/>
          <w:lang w:val="es-419"/>
        </w:rPr>
      </w:pPr>
    </w:p>
    <w:p w14:paraId="13E813E6" w14:textId="77777777" w:rsidR="00FE6ED9" w:rsidRPr="00DF793C" w:rsidRDefault="00FE6ED9" w:rsidP="00FE6ED9">
      <w:pPr>
        <w:pStyle w:val="Default"/>
        <w:numPr>
          <w:ilvl w:val="0"/>
          <w:numId w:val="40"/>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Asimismo, el pago al Fondo de Pensiones es responsabilidad exclusiva del consultor conforme a la normativa impositiva establecida en Bolivia; UNICEF no solicitará la constancia del aporte para ningún desembolso. </w:t>
      </w:r>
    </w:p>
    <w:p w14:paraId="495011A8" w14:textId="77777777" w:rsidR="00FE6ED9" w:rsidRPr="00DF793C" w:rsidRDefault="00FE6ED9" w:rsidP="00FE6ED9">
      <w:pPr>
        <w:pStyle w:val="Default"/>
        <w:spacing w:after="11"/>
        <w:ind w:left="720"/>
        <w:jc w:val="both"/>
        <w:rPr>
          <w:rFonts w:asciiTheme="majorHAnsi" w:eastAsia="Arial Unicode MS" w:hAnsiTheme="majorHAnsi" w:cstheme="majorHAnsi"/>
          <w:color w:val="auto"/>
          <w:sz w:val="20"/>
          <w:szCs w:val="20"/>
          <w:lang w:val="es-419"/>
        </w:rPr>
      </w:pPr>
    </w:p>
    <w:p w14:paraId="1FC22F3A" w14:textId="77777777" w:rsidR="00FE6ED9" w:rsidRPr="00DF793C" w:rsidRDefault="00FE6ED9" w:rsidP="00FE6ED9">
      <w:pPr>
        <w:pStyle w:val="Default"/>
        <w:numPr>
          <w:ilvl w:val="0"/>
          <w:numId w:val="40"/>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El consultor entregará los productos y reportes acordados en medio electrónico en lenguaje universalmente aceptable y en copia dura si así lo requiere la organización. Los gastos de emisión y entrega de estos productos/reportes, correrán por cuenta del consultor. </w:t>
      </w:r>
    </w:p>
    <w:p w14:paraId="779A8BB3" w14:textId="77777777" w:rsidR="00FE6ED9" w:rsidRPr="00DF793C" w:rsidRDefault="00FE6ED9" w:rsidP="00FE6ED9">
      <w:pPr>
        <w:pStyle w:val="Default"/>
        <w:spacing w:after="11"/>
        <w:ind w:left="720"/>
        <w:jc w:val="both"/>
        <w:rPr>
          <w:rFonts w:asciiTheme="majorHAnsi" w:eastAsia="Arial Unicode MS" w:hAnsiTheme="majorHAnsi" w:cstheme="majorHAnsi"/>
          <w:color w:val="auto"/>
          <w:sz w:val="20"/>
          <w:szCs w:val="20"/>
          <w:lang w:val="es-419"/>
        </w:rPr>
      </w:pPr>
    </w:p>
    <w:p w14:paraId="7EEE44BD" w14:textId="77777777" w:rsidR="00FE6ED9" w:rsidRPr="00DF793C" w:rsidRDefault="00FE6ED9" w:rsidP="00FE6ED9">
      <w:pPr>
        <w:pStyle w:val="Default"/>
        <w:numPr>
          <w:ilvl w:val="0"/>
          <w:numId w:val="40"/>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El proceso de pagos tiene una duración </w:t>
      </w:r>
      <w:r>
        <w:rPr>
          <w:rFonts w:asciiTheme="majorHAnsi" w:eastAsia="Arial Unicode MS" w:hAnsiTheme="majorHAnsi" w:cstheme="majorHAnsi"/>
          <w:color w:val="auto"/>
          <w:sz w:val="20"/>
          <w:szCs w:val="20"/>
          <w:lang w:val="es-419"/>
        </w:rPr>
        <w:t xml:space="preserve">de hasta </w:t>
      </w:r>
      <w:r w:rsidRPr="00DF793C">
        <w:rPr>
          <w:rFonts w:asciiTheme="majorHAnsi" w:eastAsia="Arial Unicode MS" w:hAnsiTheme="majorHAnsi" w:cstheme="majorHAnsi"/>
          <w:color w:val="auto"/>
          <w:sz w:val="20"/>
          <w:szCs w:val="20"/>
          <w:lang w:val="es-419"/>
        </w:rPr>
        <w:t>dos semanas, a partir de la aprobación del producto.</w:t>
      </w:r>
    </w:p>
    <w:p w14:paraId="15D00A76" w14:textId="77777777" w:rsidR="00FE6ED9" w:rsidRDefault="00FE6ED9" w:rsidP="00FE6ED9">
      <w:pPr>
        <w:tabs>
          <w:tab w:val="left" w:pos="4968"/>
        </w:tabs>
        <w:rPr>
          <w:rFonts w:asciiTheme="majorHAnsi" w:hAnsiTheme="majorHAnsi" w:cstheme="majorHAnsi"/>
          <w:color w:val="auto"/>
          <w:lang w:val="es-419"/>
        </w:rPr>
      </w:pPr>
    </w:p>
    <w:p w14:paraId="462A573E" w14:textId="77777777" w:rsidR="00FE6ED9" w:rsidRPr="00D65C28" w:rsidRDefault="00FE6ED9" w:rsidP="00FE6ED9">
      <w:pPr>
        <w:tabs>
          <w:tab w:val="left" w:pos="4968"/>
        </w:tabs>
        <w:rPr>
          <w:rFonts w:asciiTheme="majorHAnsi" w:hAnsiTheme="majorHAnsi" w:cstheme="majorHAnsi"/>
          <w:color w:val="auto"/>
          <w:lang w:val="es-419"/>
        </w:rPr>
      </w:pPr>
    </w:p>
    <w:p w14:paraId="692E17D2" w14:textId="77777777" w:rsidR="00FE6ED9" w:rsidRPr="00EC155C" w:rsidRDefault="00FE6ED9" w:rsidP="00FE6ED9">
      <w:pPr>
        <w:rPr>
          <w:rFonts w:asciiTheme="majorHAnsi" w:eastAsia="Arial Unicode MS" w:hAnsiTheme="majorHAnsi" w:cstheme="majorHAnsi"/>
          <w:b/>
          <w:bCs/>
          <w:color w:val="auto"/>
          <w:sz w:val="22"/>
          <w:szCs w:val="22"/>
          <w:lang w:val="es-419"/>
        </w:rPr>
      </w:pPr>
      <w:r w:rsidRPr="00EC155C">
        <w:rPr>
          <w:rFonts w:asciiTheme="majorHAnsi" w:eastAsia="Arial Unicode MS" w:hAnsiTheme="majorHAnsi" w:cstheme="majorHAnsi"/>
          <w:b/>
          <w:bCs/>
          <w:color w:val="auto"/>
          <w:sz w:val="22"/>
          <w:szCs w:val="22"/>
          <w:lang w:val="es-419"/>
        </w:rPr>
        <w:lastRenderedPageBreak/>
        <w:t>OBSERVACIONES IMPORTANTES:</w:t>
      </w:r>
    </w:p>
    <w:p w14:paraId="2854D405" w14:textId="77777777" w:rsidR="00FE6ED9" w:rsidRPr="00EC5294" w:rsidRDefault="00FE6ED9" w:rsidP="00FE6ED9">
      <w:pPr>
        <w:rPr>
          <w:color w:val="auto"/>
          <w:sz w:val="22"/>
          <w:lang w:val="es-ES"/>
        </w:rPr>
      </w:pPr>
    </w:p>
    <w:p w14:paraId="5956798A" w14:textId="77777777" w:rsidR="00FE6ED9" w:rsidRPr="00DF793C" w:rsidRDefault="00FE6ED9" w:rsidP="00FE6ED9">
      <w:pPr>
        <w:spacing w:line="240" w:lineRule="auto"/>
        <w:rPr>
          <w:rFonts w:asciiTheme="majorHAnsi" w:eastAsia="Arial Unicode MS" w:hAnsiTheme="majorHAnsi" w:cstheme="majorHAnsi"/>
          <w:color w:val="auto"/>
          <w:lang w:val="es-419"/>
        </w:rPr>
      </w:pPr>
      <w:r w:rsidRPr="00DF793C">
        <w:rPr>
          <w:rFonts w:asciiTheme="majorHAnsi" w:eastAsia="Arial Unicode MS" w:hAnsiTheme="majorHAnsi" w:cstheme="majorHAnsi"/>
          <w:color w:val="auto"/>
          <w:lang w:val="es-419"/>
        </w:rPr>
        <w:t>Sólo los candidatos preseleccionados serán contactados y avanzarán a la siguiente etapa del proceso de selección.</w:t>
      </w:r>
    </w:p>
    <w:p w14:paraId="65818609" w14:textId="77777777" w:rsidR="00FE6ED9" w:rsidRPr="00DF793C" w:rsidRDefault="00FE6ED9" w:rsidP="00FE6ED9">
      <w:pPr>
        <w:rPr>
          <w:rFonts w:asciiTheme="majorHAnsi" w:eastAsia="Arial Unicode MS" w:hAnsiTheme="majorHAnsi" w:cstheme="majorHAnsi"/>
          <w:color w:val="auto"/>
          <w:lang w:val="es-419"/>
        </w:rPr>
      </w:pPr>
    </w:p>
    <w:p w14:paraId="34FFFE7B" w14:textId="77777777" w:rsidR="00FE6ED9" w:rsidRPr="00DF793C" w:rsidRDefault="00FE6ED9" w:rsidP="00FE6ED9">
      <w:pPr>
        <w:spacing w:line="240" w:lineRule="auto"/>
        <w:jc w:val="both"/>
        <w:rPr>
          <w:rFonts w:asciiTheme="majorHAnsi" w:eastAsia="Arial Unicode MS" w:hAnsiTheme="majorHAnsi" w:cstheme="majorHAnsi"/>
          <w:color w:val="auto"/>
          <w:lang w:val="es-419"/>
        </w:rPr>
      </w:pPr>
      <w:r w:rsidRPr="00DF793C">
        <w:rPr>
          <w:rFonts w:asciiTheme="majorHAnsi" w:eastAsia="Arial Unicode MS" w:hAnsiTheme="majorHAnsi" w:cstheme="majorHAnsi"/>
          <w:color w:val="auto"/>
          <w:lang w:val="es-419"/>
        </w:rPr>
        <w:t xml:space="preserve">UNICEF existe para servir a </w:t>
      </w:r>
      <w:proofErr w:type="gramStart"/>
      <w:r w:rsidRPr="00DF793C">
        <w:rPr>
          <w:rFonts w:asciiTheme="majorHAnsi" w:eastAsia="Arial Unicode MS" w:hAnsiTheme="majorHAnsi" w:cstheme="majorHAnsi"/>
          <w:color w:val="auto"/>
          <w:lang w:val="es-419"/>
        </w:rPr>
        <w:t>los niños y niñas</w:t>
      </w:r>
      <w:proofErr w:type="gramEnd"/>
      <w:r w:rsidRPr="00DF793C">
        <w:rPr>
          <w:rFonts w:asciiTheme="majorHAnsi" w:eastAsia="Arial Unicode MS" w:hAnsiTheme="majorHAnsi" w:cstheme="majorHAnsi"/>
          <w:color w:val="auto"/>
          <w:lang w:val="es-419"/>
        </w:rPr>
        <w:t xml:space="preserve"> más desfavorecidos del mundo y nuestra fuerza laboral global debe reflejar la diversidad de esos niños y niñas. UNICEF se compromete a incluir a todas las personas, independientemente de su raza/etnia, edad, discapacidad, identidad de género, orientación sexual, religión, nacionalidad, origen socioeconómico, o cualquier otra característica personal.</w:t>
      </w:r>
    </w:p>
    <w:p w14:paraId="5BD28E26" w14:textId="77777777" w:rsidR="00FE6ED9" w:rsidRPr="00DF793C" w:rsidRDefault="00FE6ED9" w:rsidP="00FE6ED9">
      <w:pPr>
        <w:jc w:val="both"/>
        <w:rPr>
          <w:rFonts w:asciiTheme="majorHAnsi" w:eastAsia="Arial Unicode MS" w:hAnsiTheme="majorHAnsi" w:cstheme="majorHAnsi"/>
          <w:color w:val="auto"/>
          <w:lang w:val="es-419"/>
        </w:rPr>
      </w:pPr>
    </w:p>
    <w:p w14:paraId="37A41D00" w14:textId="77777777" w:rsidR="00FE6ED9" w:rsidRPr="00DF793C" w:rsidRDefault="00FE6ED9" w:rsidP="00FE6ED9">
      <w:pPr>
        <w:jc w:val="both"/>
        <w:rPr>
          <w:rFonts w:asciiTheme="majorHAnsi" w:eastAsia="Arial Unicode MS" w:hAnsiTheme="majorHAnsi" w:cstheme="majorHAnsi"/>
          <w:color w:val="auto"/>
          <w:lang w:val="es-419"/>
        </w:rPr>
      </w:pPr>
      <w:r w:rsidRPr="00DF793C">
        <w:rPr>
          <w:rFonts w:asciiTheme="majorHAnsi" w:eastAsia="Arial Unicode MS" w:hAnsiTheme="majorHAnsi" w:cstheme="majorHAnsi"/>
          <w:color w:val="auto"/>
          <w:lang w:val="es-419"/>
        </w:rPr>
        <w:t>UNICEF ofrece ajustes razonables para consultores con discapacidades. Esto puede incluir, por ejemplo, software accesible, asistencia en viaje para misiones o asistentes personales. Le animamos a que revele su discapacidad durante el proceso de solicitud en caso de necesitar adaptaciones razonables durante el proceso de selección y posteriormente en su asignación.</w:t>
      </w:r>
    </w:p>
    <w:p w14:paraId="2DF950A2" w14:textId="77777777" w:rsidR="00FE6ED9" w:rsidRPr="00DF793C" w:rsidRDefault="00FE6ED9" w:rsidP="00FE6ED9">
      <w:pPr>
        <w:jc w:val="both"/>
        <w:rPr>
          <w:rFonts w:asciiTheme="majorHAnsi" w:eastAsia="Arial Unicode MS" w:hAnsiTheme="majorHAnsi" w:cstheme="majorHAnsi"/>
          <w:color w:val="auto"/>
          <w:lang w:val="es-419"/>
        </w:rPr>
      </w:pPr>
    </w:p>
    <w:p w14:paraId="50972334" w14:textId="77777777" w:rsidR="00FE6ED9" w:rsidRPr="00EC155C" w:rsidRDefault="00FE6ED9" w:rsidP="00FE6ED9">
      <w:pPr>
        <w:spacing w:line="240" w:lineRule="auto"/>
        <w:jc w:val="both"/>
        <w:rPr>
          <w:rFonts w:asciiTheme="majorHAnsi" w:eastAsia="Arial Unicode MS" w:hAnsiTheme="majorHAnsi" w:cstheme="majorHAnsi"/>
          <w:color w:val="auto"/>
          <w:lang w:val="es-419"/>
        </w:rPr>
      </w:pPr>
      <w:r w:rsidRPr="00DF793C">
        <w:rPr>
          <w:rFonts w:asciiTheme="majorHAnsi" w:eastAsia="Arial Unicode MS" w:hAnsiTheme="majorHAnsi" w:cstheme="majorHAnsi"/>
          <w:color w:val="auto"/>
          <w:lang w:val="es-419"/>
        </w:rPr>
        <w:t>UNICEF aplica una política de tolerancia cero ante conductas incompatibles con los fines y objetivos de las Naciones Unidas y de UNICEF, incluida la explotación y el abuso sexuales, el acoso sexual, el abuso de autoridad y la discriminación. UNICEF también se adhiere a estrictos principios de protección infantil. Se espera que todos los candidatos seleccionados se adhieran a estas normas y principios, por lo que serán sometidos a rigurosas verificaciones de referencias y antecedentes. Estas comprobaciones de antecedentes incluirán la verificación de credenciales académicas e historial laboral. Es posible que se solicite a los candidatos seleccionados proporcionar información adicional para llevar a cabo la verificación de antecedentes.</w:t>
      </w:r>
    </w:p>
    <w:p w14:paraId="512E5F40" w14:textId="77777777" w:rsidR="00FE6ED9" w:rsidRPr="00E63E14" w:rsidRDefault="00FE6ED9" w:rsidP="00FE6ED9">
      <w:pPr>
        <w:tabs>
          <w:tab w:val="left" w:pos="4968"/>
        </w:tabs>
        <w:rPr>
          <w:rFonts w:asciiTheme="majorHAnsi" w:hAnsiTheme="majorHAnsi" w:cstheme="majorHAnsi"/>
          <w:lang w:val="es-419"/>
        </w:rPr>
      </w:pPr>
    </w:p>
    <w:p w14:paraId="58BCC911" w14:textId="77777777" w:rsidR="00FE6ED9" w:rsidRDefault="00FE6ED9" w:rsidP="0070693B">
      <w:pPr>
        <w:tabs>
          <w:tab w:val="left" w:pos="4968"/>
        </w:tabs>
        <w:ind w:left="113"/>
        <w:rPr>
          <w:rFonts w:asciiTheme="majorHAnsi" w:eastAsia="Arial Unicode MS" w:hAnsiTheme="majorHAnsi" w:cstheme="majorHAnsi"/>
          <w:b/>
          <w:color w:val="auto"/>
          <w:lang w:val="es-419"/>
        </w:rPr>
      </w:pPr>
    </w:p>
    <w:sectPr w:rsidR="00FE6ED9" w:rsidSect="00103826">
      <w:headerReference w:type="default" r:id="rId15"/>
      <w:footerReference w:type="default" r:id="rId16"/>
      <w:headerReference w:type="first" r:id="rId17"/>
      <w:pgSz w:w="11907" w:h="16839" w:code="9"/>
      <w:pgMar w:top="1620" w:right="927" w:bottom="135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BAB84" w14:textId="77777777" w:rsidR="00C17799" w:rsidRDefault="00C17799" w:rsidP="000C3710">
      <w:r>
        <w:separator/>
      </w:r>
    </w:p>
  </w:endnote>
  <w:endnote w:type="continuationSeparator" w:id="0">
    <w:p w14:paraId="69B325C4" w14:textId="77777777" w:rsidR="00C17799" w:rsidRDefault="00C17799"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8BA7" w14:textId="5AD2F331" w:rsidR="003B7251" w:rsidRPr="00123A7E" w:rsidRDefault="00257BD7" w:rsidP="00257BD7">
    <w:pPr>
      <w:pStyle w:val="Footer"/>
      <w:tabs>
        <w:tab w:val="clear" w:pos="4680"/>
        <w:tab w:val="clear" w:pos="9360"/>
        <w:tab w:val="left" w:pos="90"/>
        <w:tab w:val="left" w:pos="1236"/>
      </w:tabs>
      <w:rPr>
        <w:rFonts w:ascii="Arial" w:hAnsi="Arial" w:cs="Arial"/>
        <w:sz w:val="18"/>
        <w:lang w:val="es-419"/>
      </w:rPr>
    </w:pP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9925D" w14:textId="77777777" w:rsidR="00C17799" w:rsidRDefault="00C17799" w:rsidP="000C3710">
      <w:r>
        <w:separator/>
      </w:r>
    </w:p>
  </w:footnote>
  <w:footnote w:type="continuationSeparator" w:id="0">
    <w:p w14:paraId="65C6EA00" w14:textId="77777777" w:rsidR="00C17799" w:rsidRDefault="00C17799"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3853910" name="Picture 3853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4211E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961456416" name="Picture 196145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C1B73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6534098"/>
    <w:multiLevelType w:val="hybridMultilevel"/>
    <w:tmpl w:val="A29A5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92172C7"/>
    <w:multiLevelType w:val="hybridMultilevel"/>
    <w:tmpl w:val="AA5C0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BA86212"/>
    <w:multiLevelType w:val="multilevel"/>
    <w:tmpl w:val="88B623B2"/>
    <w:lvl w:ilvl="0">
      <w:start w:val="1"/>
      <w:numFmt w:val="decimal"/>
      <w:lvlText w:val="%1."/>
      <w:lvlJc w:val="left"/>
      <w:pPr>
        <w:ind w:left="720" w:hanging="360"/>
      </w:pPr>
      <w:rPr>
        <w:b/>
        <w:bCs/>
        <w:i w:val="0"/>
        <w:iCs w:val="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DD53D1"/>
    <w:multiLevelType w:val="hybridMultilevel"/>
    <w:tmpl w:val="0178BCD0"/>
    <w:lvl w:ilvl="0" w:tplc="04090001">
      <w:start w:val="1"/>
      <w:numFmt w:val="bullet"/>
      <w:lvlText w:val=""/>
      <w:lvlJc w:val="left"/>
      <w:pPr>
        <w:ind w:left="720" w:hanging="360"/>
      </w:pPr>
      <w:rPr>
        <w:rFonts w:ascii="Symbol" w:hAnsi="Symbol" w:hint="default"/>
      </w:rPr>
    </w:lvl>
    <w:lvl w:ilvl="1" w:tplc="F9B658EA">
      <w:numFmt w:val="bullet"/>
      <w:lvlText w:val="•"/>
      <w:lvlJc w:val="left"/>
      <w:pPr>
        <w:ind w:left="1440" w:hanging="360"/>
      </w:pPr>
      <w:rPr>
        <w:rFonts w:ascii="Calibri Light" w:eastAsia="Arial Unicode MS"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D03A97"/>
    <w:multiLevelType w:val="hybridMultilevel"/>
    <w:tmpl w:val="C6D0CAB4"/>
    <w:lvl w:ilvl="0" w:tplc="71B8399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681FB5"/>
    <w:multiLevelType w:val="multilevel"/>
    <w:tmpl w:val="27B49542"/>
    <w:lvl w:ilvl="0">
      <w:start w:val="1"/>
      <w:numFmt w:val="decimal"/>
      <w:lvlText w:val="%1."/>
      <w:lvlJc w:val="left"/>
      <w:pPr>
        <w:ind w:left="360" w:hanging="360"/>
      </w:pPr>
      <w:rPr>
        <w:rFonts w:ascii="Calibri" w:hAnsi="Calibri" w:cs="Calibri" w:hint="default"/>
        <w:i/>
        <w:sz w:val="22"/>
      </w:rPr>
    </w:lvl>
    <w:lvl w:ilvl="1">
      <w:start w:val="1"/>
      <w:numFmt w:val="decimal"/>
      <w:lvlText w:val="%1.%2."/>
      <w:lvlJc w:val="left"/>
      <w:pPr>
        <w:ind w:left="360" w:hanging="360"/>
      </w:pPr>
      <w:rPr>
        <w:rFonts w:ascii="Calibri" w:hAnsi="Calibri" w:cs="Calibri" w:hint="default"/>
        <w:i w:val="0"/>
        <w:iCs/>
        <w:sz w:val="22"/>
      </w:rPr>
    </w:lvl>
    <w:lvl w:ilvl="2">
      <w:start w:val="1"/>
      <w:numFmt w:val="decimal"/>
      <w:lvlText w:val="%1.%2.%3."/>
      <w:lvlJc w:val="left"/>
      <w:pPr>
        <w:ind w:left="720" w:hanging="720"/>
      </w:pPr>
      <w:rPr>
        <w:rFonts w:ascii="Calibri" w:hAnsi="Calibri" w:cs="Calibri" w:hint="default"/>
        <w:i/>
        <w:sz w:val="22"/>
      </w:rPr>
    </w:lvl>
    <w:lvl w:ilvl="3">
      <w:start w:val="1"/>
      <w:numFmt w:val="decimal"/>
      <w:lvlText w:val="%1.%2.%3.%4."/>
      <w:lvlJc w:val="left"/>
      <w:pPr>
        <w:ind w:left="720" w:hanging="720"/>
      </w:pPr>
      <w:rPr>
        <w:rFonts w:ascii="Calibri" w:hAnsi="Calibri" w:cs="Calibri" w:hint="default"/>
        <w:i/>
        <w:sz w:val="22"/>
      </w:rPr>
    </w:lvl>
    <w:lvl w:ilvl="4">
      <w:start w:val="1"/>
      <w:numFmt w:val="decimal"/>
      <w:lvlText w:val="%1.%2.%3.%4.%5."/>
      <w:lvlJc w:val="left"/>
      <w:pPr>
        <w:ind w:left="1080" w:hanging="1080"/>
      </w:pPr>
      <w:rPr>
        <w:rFonts w:ascii="Calibri" w:hAnsi="Calibri" w:cs="Calibri" w:hint="default"/>
        <w:i/>
        <w:sz w:val="22"/>
      </w:rPr>
    </w:lvl>
    <w:lvl w:ilvl="5">
      <w:start w:val="1"/>
      <w:numFmt w:val="decimal"/>
      <w:lvlText w:val="%1.%2.%3.%4.%5.%6."/>
      <w:lvlJc w:val="left"/>
      <w:pPr>
        <w:ind w:left="1080" w:hanging="1080"/>
      </w:pPr>
      <w:rPr>
        <w:rFonts w:ascii="Calibri" w:hAnsi="Calibri" w:cs="Calibri" w:hint="default"/>
        <w:i/>
        <w:sz w:val="22"/>
      </w:rPr>
    </w:lvl>
    <w:lvl w:ilvl="6">
      <w:start w:val="1"/>
      <w:numFmt w:val="decimal"/>
      <w:lvlText w:val="%1.%2.%3.%4.%5.%6.%7."/>
      <w:lvlJc w:val="left"/>
      <w:pPr>
        <w:ind w:left="1440" w:hanging="1440"/>
      </w:pPr>
      <w:rPr>
        <w:rFonts w:ascii="Calibri" w:hAnsi="Calibri" w:cs="Calibri" w:hint="default"/>
        <w:i/>
        <w:sz w:val="22"/>
      </w:rPr>
    </w:lvl>
    <w:lvl w:ilvl="7">
      <w:start w:val="1"/>
      <w:numFmt w:val="decimal"/>
      <w:lvlText w:val="%1.%2.%3.%4.%5.%6.%7.%8."/>
      <w:lvlJc w:val="left"/>
      <w:pPr>
        <w:ind w:left="1440" w:hanging="1440"/>
      </w:pPr>
      <w:rPr>
        <w:rFonts w:ascii="Calibri" w:hAnsi="Calibri" w:cs="Calibri" w:hint="default"/>
        <w:i/>
        <w:sz w:val="22"/>
      </w:rPr>
    </w:lvl>
    <w:lvl w:ilvl="8">
      <w:start w:val="1"/>
      <w:numFmt w:val="decimal"/>
      <w:lvlText w:val="%1.%2.%3.%4.%5.%6.%7.%8.%9."/>
      <w:lvlJc w:val="left"/>
      <w:pPr>
        <w:ind w:left="1440" w:hanging="1440"/>
      </w:pPr>
      <w:rPr>
        <w:rFonts w:ascii="Calibri" w:hAnsi="Calibri" w:cs="Calibri" w:hint="default"/>
        <w:i/>
        <w:sz w:val="22"/>
      </w:rPr>
    </w:lvl>
  </w:abstractNum>
  <w:abstractNum w:abstractNumId="20"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89290D"/>
    <w:multiLevelType w:val="hybridMultilevel"/>
    <w:tmpl w:val="27648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E8E57FF"/>
    <w:multiLevelType w:val="hybridMultilevel"/>
    <w:tmpl w:val="3EC22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2A83CBE"/>
    <w:multiLevelType w:val="hybridMultilevel"/>
    <w:tmpl w:val="ECC4BC8E"/>
    <w:lvl w:ilvl="0" w:tplc="38DE1D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A04FDD"/>
    <w:multiLevelType w:val="hybridMultilevel"/>
    <w:tmpl w:val="306AB7E0"/>
    <w:lvl w:ilvl="0" w:tplc="384042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741EE"/>
    <w:multiLevelType w:val="hybridMultilevel"/>
    <w:tmpl w:val="C3645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0107CB"/>
    <w:multiLevelType w:val="hybridMultilevel"/>
    <w:tmpl w:val="69427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3104DE"/>
    <w:multiLevelType w:val="hybridMultilevel"/>
    <w:tmpl w:val="03C626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584F25"/>
    <w:multiLevelType w:val="hybridMultilevel"/>
    <w:tmpl w:val="197E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5F5276"/>
    <w:multiLevelType w:val="hybridMultilevel"/>
    <w:tmpl w:val="9140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10956">
    <w:abstractNumId w:val="26"/>
  </w:num>
  <w:num w:numId="2" w16cid:durableId="1461998155">
    <w:abstractNumId w:val="30"/>
  </w:num>
  <w:num w:numId="3" w16cid:durableId="1987586873">
    <w:abstractNumId w:val="24"/>
  </w:num>
  <w:num w:numId="4" w16cid:durableId="1195462000">
    <w:abstractNumId w:val="17"/>
  </w:num>
  <w:num w:numId="5" w16cid:durableId="642929467">
    <w:abstractNumId w:val="15"/>
  </w:num>
  <w:num w:numId="6" w16cid:durableId="139348908">
    <w:abstractNumId w:val="25"/>
  </w:num>
  <w:num w:numId="7" w16cid:durableId="299653707">
    <w:abstractNumId w:val="32"/>
  </w:num>
  <w:num w:numId="8" w16cid:durableId="371539533">
    <w:abstractNumId w:val="33"/>
  </w:num>
  <w:num w:numId="9" w16cid:durableId="1283000573">
    <w:abstractNumId w:val="11"/>
    <w:lvlOverride w:ilvl="0">
      <w:lvl w:ilvl="0">
        <w:numFmt w:val="bullet"/>
        <w:lvlText w:val=""/>
        <w:legacy w:legacy="1" w:legacySpace="0" w:legacyIndent="0"/>
        <w:lvlJc w:val="left"/>
        <w:rPr>
          <w:rFonts w:ascii="Symbol" w:hAnsi="Symbol" w:hint="default"/>
          <w:sz w:val="22"/>
        </w:rPr>
      </w:lvl>
    </w:lvlOverride>
  </w:num>
  <w:num w:numId="10" w16cid:durableId="883713374">
    <w:abstractNumId w:val="29"/>
  </w:num>
  <w:num w:numId="11" w16cid:durableId="530529580">
    <w:abstractNumId w:val="28"/>
  </w:num>
  <w:num w:numId="12" w16cid:durableId="1204636941">
    <w:abstractNumId w:val="35"/>
  </w:num>
  <w:num w:numId="13" w16cid:durableId="1841504949">
    <w:abstractNumId w:val="0"/>
  </w:num>
  <w:num w:numId="14" w16cid:durableId="1805195958">
    <w:abstractNumId w:val="10"/>
  </w:num>
  <w:num w:numId="15" w16cid:durableId="2021615662">
    <w:abstractNumId w:val="8"/>
  </w:num>
  <w:num w:numId="16" w16cid:durableId="1050156352">
    <w:abstractNumId w:val="7"/>
  </w:num>
  <w:num w:numId="17" w16cid:durableId="645817276">
    <w:abstractNumId w:val="6"/>
  </w:num>
  <w:num w:numId="18" w16cid:durableId="1619021376">
    <w:abstractNumId w:val="5"/>
  </w:num>
  <w:num w:numId="19" w16cid:durableId="63995513">
    <w:abstractNumId w:val="9"/>
  </w:num>
  <w:num w:numId="20" w16cid:durableId="207229219">
    <w:abstractNumId w:val="4"/>
  </w:num>
  <w:num w:numId="21" w16cid:durableId="457451990">
    <w:abstractNumId w:val="3"/>
  </w:num>
  <w:num w:numId="22" w16cid:durableId="571546036">
    <w:abstractNumId w:val="2"/>
  </w:num>
  <w:num w:numId="23" w16cid:durableId="960112233">
    <w:abstractNumId w:val="1"/>
  </w:num>
  <w:num w:numId="24" w16cid:durableId="1759711280">
    <w:abstractNumId w:val="20"/>
  </w:num>
  <w:num w:numId="25" w16cid:durableId="1223298034">
    <w:abstractNumId w:val="23"/>
  </w:num>
  <w:num w:numId="26" w16cid:durableId="1045984391">
    <w:abstractNumId w:val="14"/>
  </w:num>
  <w:num w:numId="27" w16cid:durableId="1331565982">
    <w:abstractNumId w:val="34"/>
  </w:num>
  <w:num w:numId="28" w16cid:durableId="526911961">
    <w:abstractNumId w:val="31"/>
  </w:num>
  <w:num w:numId="29" w16cid:durableId="598757375">
    <w:abstractNumId w:val="27"/>
  </w:num>
  <w:num w:numId="30" w16cid:durableId="1949277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1443015">
    <w:abstractNumId w:val="13"/>
  </w:num>
  <w:num w:numId="32" w16cid:durableId="1699966554">
    <w:abstractNumId w:val="16"/>
  </w:num>
  <w:num w:numId="33" w16cid:durableId="90248155">
    <w:abstractNumId w:val="38"/>
  </w:num>
  <w:num w:numId="34" w16cid:durableId="2042853525">
    <w:abstractNumId w:val="19"/>
  </w:num>
  <w:num w:numId="35" w16cid:durableId="1770811526">
    <w:abstractNumId w:val="36"/>
  </w:num>
  <w:num w:numId="36" w16cid:durableId="1325745748">
    <w:abstractNumId w:val="12"/>
  </w:num>
  <w:num w:numId="37" w16cid:durableId="536044514">
    <w:abstractNumId w:val="22"/>
  </w:num>
  <w:num w:numId="38" w16cid:durableId="630792798">
    <w:abstractNumId w:val="21"/>
  </w:num>
  <w:num w:numId="39" w16cid:durableId="475606931">
    <w:abstractNumId w:val="37"/>
  </w:num>
  <w:num w:numId="40" w16cid:durableId="17784058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10277"/>
    <w:rsid w:val="00021890"/>
    <w:rsid w:val="000241D1"/>
    <w:rsid w:val="00025F29"/>
    <w:rsid w:val="00030834"/>
    <w:rsid w:val="000310DE"/>
    <w:rsid w:val="000415E9"/>
    <w:rsid w:val="00041A49"/>
    <w:rsid w:val="00043A23"/>
    <w:rsid w:val="0004433C"/>
    <w:rsid w:val="000446E4"/>
    <w:rsid w:val="00051966"/>
    <w:rsid w:val="00056A18"/>
    <w:rsid w:val="000576DC"/>
    <w:rsid w:val="00064448"/>
    <w:rsid w:val="0006618D"/>
    <w:rsid w:val="00066CAF"/>
    <w:rsid w:val="00075BA9"/>
    <w:rsid w:val="00075E31"/>
    <w:rsid w:val="00076437"/>
    <w:rsid w:val="000764CE"/>
    <w:rsid w:val="00077033"/>
    <w:rsid w:val="00084485"/>
    <w:rsid w:val="00096574"/>
    <w:rsid w:val="0009679B"/>
    <w:rsid w:val="000A4819"/>
    <w:rsid w:val="000A7045"/>
    <w:rsid w:val="000B5829"/>
    <w:rsid w:val="000B7842"/>
    <w:rsid w:val="000C3710"/>
    <w:rsid w:val="000C5EC5"/>
    <w:rsid w:val="000C61F2"/>
    <w:rsid w:val="000C6D49"/>
    <w:rsid w:val="000D4E0C"/>
    <w:rsid w:val="000D6CA1"/>
    <w:rsid w:val="000E1755"/>
    <w:rsid w:val="000E2F07"/>
    <w:rsid w:val="000E3253"/>
    <w:rsid w:val="000E414F"/>
    <w:rsid w:val="000E4D76"/>
    <w:rsid w:val="000E4FC5"/>
    <w:rsid w:val="000F2566"/>
    <w:rsid w:val="000F619D"/>
    <w:rsid w:val="000F6440"/>
    <w:rsid w:val="000F75D7"/>
    <w:rsid w:val="001015CE"/>
    <w:rsid w:val="00103826"/>
    <w:rsid w:val="00105A53"/>
    <w:rsid w:val="00107B7A"/>
    <w:rsid w:val="00112DEE"/>
    <w:rsid w:val="00123A7E"/>
    <w:rsid w:val="00126DAB"/>
    <w:rsid w:val="0013171B"/>
    <w:rsid w:val="00140E7A"/>
    <w:rsid w:val="00141AA8"/>
    <w:rsid w:val="00153BC2"/>
    <w:rsid w:val="00154DAD"/>
    <w:rsid w:val="001555CD"/>
    <w:rsid w:val="0015757A"/>
    <w:rsid w:val="00161B98"/>
    <w:rsid w:val="001637C2"/>
    <w:rsid w:val="00164C95"/>
    <w:rsid w:val="001650DD"/>
    <w:rsid w:val="00165C9B"/>
    <w:rsid w:val="00173392"/>
    <w:rsid w:val="00175B69"/>
    <w:rsid w:val="00175E9C"/>
    <w:rsid w:val="00176711"/>
    <w:rsid w:val="00177C29"/>
    <w:rsid w:val="00181E43"/>
    <w:rsid w:val="00182C1C"/>
    <w:rsid w:val="00183FA9"/>
    <w:rsid w:val="00186637"/>
    <w:rsid w:val="00186E13"/>
    <w:rsid w:val="00193BD3"/>
    <w:rsid w:val="001A4B63"/>
    <w:rsid w:val="001B190C"/>
    <w:rsid w:val="001B5D66"/>
    <w:rsid w:val="001C0FB6"/>
    <w:rsid w:val="001C45A2"/>
    <w:rsid w:val="001E112E"/>
    <w:rsid w:val="001E1BD4"/>
    <w:rsid w:val="001E517E"/>
    <w:rsid w:val="001E7405"/>
    <w:rsid w:val="001E77EB"/>
    <w:rsid w:val="001F651F"/>
    <w:rsid w:val="0020238B"/>
    <w:rsid w:val="002072D5"/>
    <w:rsid w:val="00213A86"/>
    <w:rsid w:val="00214E11"/>
    <w:rsid w:val="00215568"/>
    <w:rsid w:val="00215E5E"/>
    <w:rsid w:val="0022123C"/>
    <w:rsid w:val="00222F56"/>
    <w:rsid w:val="002303BA"/>
    <w:rsid w:val="0023178D"/>
    <w:rsid w:val="00234AD4"/>
    <w:rsid w:val="0024173B"/>
    <w:rsid w:val="00244E25"/>
    <w:rsid w:val="002460BE"/>
    <w:rsid w:val="00247353"/>
    <w:rsid w:val="002522B2"/>
    <w:rsid w:val="0025373F"/>
    <w:rsid w:val="00255151"/>
    <w:rsid w:val="00257BD7"/>
    <w:rsid w:val="0026236A"/>
    <w:rsid w:val="002636EA"/>
    <w:rsid w:val="002659AE"/>
    <w:rsid w:val="0026644B"/>
    <w:rsid w:val="0027015A"/>
    <w:rsid w:val="00272284"/>
    <w:rsid w:val="00275125"/>
    <w:rsid w:val="00280610"/>
    <w:rsid w:val="00285811"/>
    <w:rsid w:val="00292E6C"/>
    <w:rsid w:val="00293255"/>
    <w:rsid w:val="00293C1B"/>
    <w:rsid w:val="002952E4"/>
    <w:rsid w:val="002B2A26"/>
    <w:rsid w:val="002B5011"/>
    <w:rsid w:val="002B6832"/>
    <w:rsid w:val="002B7647"/>
    <w:rsid w:val="002B7E57"/>
    <w:rsid w:val="002C1FBB"/>
    <w:rsid w:val="002C5AA6"/>
    <w:rsid w:val="002C67E2"/>
    <w:rsid w:val="002D0C54"/>
    <w:rsid w:val="002D16CD"/>
    <w:rsid w:val="002D38E9"/>
    <w:rsid w:val="002D4DEF"/>
    <w:rsid w:val="002D62E4"/>
    <w:rsid w:val="002D7D3A"/>
    <w:rsid w:val="002E02E9"/>
    <w:rsid w:val="002E443D"/>
    <w:rsid w:val="002F2367"/>
    <w:rsid w:val="002F363E"/>
    <w:rsid w:val="003057B2"/>
    <w:rsid w:val="00305B9A"/>
    <w:rsid w:val="00306E1E"/>
    <w:rsid w:val="003117C2"/>
    <w:rsid w:val="00320886"/>
    <w:rsid w:val="0032151B"/>
    <w:rsid w:val="00332D2A"/>
    <w:rsid w:val="00341728"/>
    <w:rsid w:val="00341EBB"/>
    <w:rsid w:val="0034354C"/>
    <w:rsid w:val="00353547"/>
    <w:rsid w:val="00361834"/>
    <w:rsid w:val="00363CA2"/>
    <w:rsid w:val="003655B8"/>
    <w:rsid w:val="003672AF"/>
    <w:rsid w:val="0037152D"/>
    <w:rsid w:val="00372E4B"/>
    <w:rsid w:val="00373453"/>
    <w:rsid w:val="0037425C"/>
    <w:rsid w:val="00375295"/>
    <w:rsid w:val="00377BF5"/>
    <w:rsid w:val="00377E69"/>
    <w:rsid w:val="00381276"/>
    <w:rsid w:val="0038200F"/>
    <w:rsid w:val="00391797"/>
    <w:rsid w:val="00394C7C"/>
    <w:rsid w:val="00396BF0"/>
    <w:rsid w:val="003A00B6"/>
    <w:rsid w:val="003A0BA5"/>
    <w:rsid w:val="003A1C0E"/>
    <w:rsid w:val="003B3F83"/>
    <w:rsid w:val="003B52AA"/>
    <w:rsid w:val="003B5650"/>
    <w:rsid w:val="003B7251"/>
    <w:rsid w:val="003C0559"/>
    <w:rsid w:val="003C1BC1"/>
    <w:rsid w:val="003C45E0"/>
    <w:rsid w:val="003C4672"/>
    <w:rsid w:val="003C48FF"/>
    <w:rsid w:val="003C4901"/>
    <w:rsid w:val="003C4BE0"/>
    <w:rsid w:val="003C6870"/>
    <w:rsid w:val="003C7437"/>
    <w:rsid w:val="003D04D3"/>
    <w:rsid w:val="003D0F6C"/>
    <w:rsid w:val="003D170F"/>
    <w:rsid w:val="003D2BCF"/>
    <w:rsid w:val="003D42F1"/>
    <w:rsid w:val="003D795D"/>
    <w:rsid w:val="003D7D96"/>
    <w:rsid w:val="003E0DD5"/>
    <w:rsid w:val="003E4220"/>
    <w:rsid w:val="003E4BAE"/>
    <w:rsid w:val="003E6C9B"/>
    <w:rsid w:val="003E7E75"/>
    <w:rsid w:val="003F2C5E"/>
    <w:rsid w:val="00407258"/>
    <w:rsid w:val="00407853"/>
    <w:rsid w:val="00411005"/>
    <w:rsid w:val="00411615"/>
    <w:rsid w:val="00411F46"/>
    <w:rsid w:val="004134C4"/>
    <w:rsid w:val="00413FFD"/>
    <w:rsid w:val="00415A33"/>
    <w:rsid w:val="004160E9"/>
    <w:rsid w:val="00416141"/>
    <w:rsid w:val="00422305"/>
    <w:rsid w:val="0043418B"/>
    <w:rsid w:val="00435AB0"/>
    <w:rsid w:val="0043646D"/>
    <w:rsid w:val="0043714D"/>
    <w:rsid w:val="004429D6"/>
    <w:rsid w:val="00445CFF"/>
    <w:rsid w:val="00446F4F"/>
    <w:rsid w:val="00453B15"/>
    <w:rsid w:val="004554A5"/>
    <w:rsid w:val="00472BBD"/>
    <w:rsid w:val="004809D8"/>
    <w:rsid w:val="00481D11"/>
    <w:rsid w:val="0048341F"/>
    <w:rsid w:val="0048376B"/>
    <w:rsid w:val="004A64C8"/>
    <w:rsid w:val="004A6CA6"/>
    <w:rsid w:val="004B276A"/>
    <w:rsid w:val="004B4018"/>
    <w:rsid w:val="004B5273"/>
    <w:rsid w:val="004C2C7B"/>
    <w:rsid w:val="004D08C1"/>
    <w:rsid w:val="004D1A2C"/>
    <w:rsid w:val="004D2245"/>
    <w:rsid w:val="004D5D35"/>
    <w:rsid w:val="004E2D0B"/>
    <w:rsid w:val="004E67BE"/>
    <w:rsid w:val="004F1A27"/>
    <w:rsid w:val="004F3D62"/>
    <w:rsid w:val="004F6D00"/>
    <w:rsid w:val="005032F9"/>
    <w:rsid w:val="005075C6"/>
    <w:rsid w:val="00511A6E"/>
    <w:rsid w:val="005202EE"/>
    <w:rsid w:val="00523923"/>
    <w:rsid w:val="005246DC"/>
    <w:rsid w:val="005356FF"/>
    <w:rsid w:val="00542273"/>
    <w:rsid w:val="00544027"/>
    <w:rsid w:val="00544A89"/>
    <w:rsid w:val="0054592E"/>
    <w:rsid w:val="00546C73"/>
    <w:rsid w:val="00555615"/>
    <w:rsid w:val="00584AD4"/>
    <w:rsid w:val="00591246"/>
    <w:rsid w:val="0059671E"/>
    <w:rsid w:val="005A3EA4"/>
    <w:rsid w:val="005A643C"/>
    <w:rsid w:val="005B3739"/>
    <w:rsid w:val="005B5844"/>
    <w:rsid w:val="005C0660"/>
    <w:rsid w:val="005C103A"/>
    <w:rsid w:val="005C69DD"/>
    <w:rsid w:val="005D0BBF"/>
    <w:rsid w:val="005D1C99"/>
    <w:rsid w:val="005E629A"/>
    <w:rsid w:val="005E6FE1"/>
    <w:rsid w:val="005F3AFC"/>
    <w:rsid w:val="005F5BED"/>
    <w:rsid w:val="006007DA"/>
    <w:rsid w:val="006139B9"/>
    <w:rsid w:val="00622ED3"/>
    <w:rsid w:val="00626681"/>
    <w:rsid w:val="00627E9B"/>
    <w:rsid w:val="006314EA"/>
    <w:rsid w:val="00632D59"/>
    <w:rsid w:val="00641546"/>
    <w:rsid w:val="00641AEF"/>
    <w:rsid w:val="0064685B"/>
    <w:rsid w:val="006531B4"/>
    <w:rsid w:val="00653E0C"/>
    <w:rsid w:val="006579B7"/>
    <w:rsid w:val="00661BE1"/>
    <w:rsid w:val="006622F4"/>
    <w:rsid w:val="006642C4"/>
    <w:rsid w:val="0066692F"/>
    <w:rsid w:val="00674FCB"/>
    <w:rsid w:val="00676B1F"/>
    <w:rsid w:val="0068165E"/>
    <w:rsid w:val="006857FA"/>
    <w:rsid w:val="0068655C"/>
    <w:rsid w:val="006907A6"/>
    <w:rsid w:val="006920AE"/>
    <w:rsid w:val="006921D1"/>
    <w:rsid w:val="00695371"/>
    <w:rsid w:val="006968C1"/>
    <w:rsid w:val="006A142E"/>
    <w:rsid w:val="006A5CFB"/>
    <w:rsid w:val="006A6710"/>
    <w:rsid w:val="006B4298"/>
    <w:rsid w:val="006B7F68"/>
    <w:rsid w:val="006C47DD"/>
    <w:rsid w:val="006C5703"/>
    <w:rsid w:val="006C688F"/>
    <w:rsid w:val="006C7D5A"/>
    <w:rsid w:val="006D0A0B"/>
    <w:rsid w:val="006D1BD7"/>
    <w:rsid w:val="006D6C69"/>
    <w:rsid w:val="006E00B2"/>
    <w:rsid w:val="006E20B5"/>
    <w:rsid w:val="006E3839"/>
    <w:rsid w:val="006F3357"/>
    <w:rsid w:val="006F629F"/>
    <w:rsid w:val="006F769C"/>
    <w:rsid w:val="007001DA"/>
    <w:rsid w:val="0070263C"/>
    <w:rsid w:val="0070672A"/>
    <w:rsid w:val="0070693B"/>
    <w:rsid w:val="007109E2"/>
    <w:rsid w:val="00711C06"/>
    <w:rsid w:val="0071297F"/>
    <w:rsid w:val="007142C7"/>
    <w:rsid w:val="00715F82"/>
    <w:rsid w:val="00717526"/>
    <w:rsid w:val="007223D4"/>
    <w:rsid w:val="00725AFF"/>
    <w:rsid w:val="00731EFA"/>
    <w:rsid w:val="00745587"/>
    <w:rsid w:val="00746FD9"/>
    <w:rsid w:val="00751237"/>
    <w:rsid w:val="0075490C"/>
    <w:rsid w:val="00756755"/>
    <w:rsid w:val="00757FB7"/>
    <w:rsid w:val="0076060C"/>
    <w:rsid w:val="007613A0"/>
    <w:rsid w:val="007613B3"/>
    <w:rsid w:val="00761B2E"/>
    <w:rsid w:val="00774438"/>
    <w:rsid w:val="0077559E"/>
    <w:rsid w:val="00782337"/>
    <w:rsid w:val="007826F8"/>
    <w:rsid w:val="007A1EDD"/>
    <w:rsid w:val="007A50DA"/>
    <w:rsid w:val="007B4D76"/>
    <w:rsid w:val="007B64A0"/>
    <w:rsid w:val="007B6BF8"/>
    <w:rsid w:val="007C3C37"/>
    <w:rsid w:val="007C7F78"/>
    <w:rsid w:val="007D5968"/>
    <w:rsid w:val="007D7750"/>
    <w:rsid w:val="007E388E"/>
    <w:rsid w:val="007E73F5"/>
    <w:rsid w:val="007F27ED"/>
    <w:rsid w:val="00801C3E"/>
    <w:rsid w:val="00802DB2"/>
    <w:rsid w:val="0080603F"/>
    <w:rsid w:val="00806AF3"/>
    <w:rsid w:val="00812FFA"/>
    <w:rsid w:val="00813D3A"/>
    <w:rsid w:val="00821578"/>
    <w:rsid w:val="00822F2C"/>
    <w:rsid w:val="00845125"/>
    <w:rsid w:val="00861563"/>
    <w:rsid w:val="00873C12"/>
    <w:rsid w:val="00876DBF"/>
    <w:rsid w:val="0088386B"/>
    <w:rsid w:val="00883D70"/>
    <w:rsid w:val="00884F21"/>
    <w:rsid w:val="00884F6C"/>
    <w:rsid w:val="00891F7A"/>
    <w:rsid w:val="00896383"/>
    <w:rsid w:val="00896A3B"/>
    <w:rsid w:val="008A2A60"/>
    <w:rsid w:val="008B0A0B"/>
    <w:rsid w:val="008B2E54"/>
    <w:rsid w:val="008B3BDE"/>
    <w:rsid w:val="008C5761"/>
    <w:rsid w:val="008D28C5"/>
    <w:rsid w:val="008D79DD"/>
    <w:rsid w:val="008E375E"/>
    <w:rsid w:val="008E3852"/>
    <w:rsid w:val="008F4E97"/>
    <w:rsid w:val="0090065A"/>
    <w:rsid w:val="00900912"/>
    <w:rsid w:val="0090188D"/>
    <w:rsid w:val="00903E9D"/>
    <w:rsid w:val="00905953"/>
    <w:rsid w:val="00906E2A"/>
    <w:rsid w:val="009109A5"/>
    <w:rsid w:val="00911979"/>
    <w:rsid w:val="0091382D"/>
    <w:rsid w:val="009146BE"/>
    <w:rsid w:val="009203FF"/>
    <w:rsid w:val="00922852"/>
    <w:rsid w:val="009247BD"/>
    <w:rsid w:val="00924835"/>
    <w:rsid w:val="00925AC9"/>
    <w:rsid w:val="00931ABC"/>
    <w:rsid w:val="00941DF0"/>
    <w:rsid w:val="009512AC"/>
    <w:rsid w:val="0095309F"/>
    <w:rsid w:val="00955840"/>
    <w:rsid w:val="00960715"/>
    <w:rsid w:val="00960C6A"/>
    <w:rsid w:val="0096249B"/>
    <w:rsid w:val="00962F0B"/>
    <w:rsid w:val="00963571"/>
    <w:rsid w:val="009637FF"/>
    <w:rsid w:val="00963C52"/>
    <w:rsid w:val="009657AF"/>
    <w:rsid w:val="00970A9C"/>
    <w:rsid w:val="00970EBD"/>
    <w:rsid w:val="00975550"/>
    <w:rsid w:val="009831E0"/>
    <w:rsid w:val="009A11FE"/>
    <w:rsid w:val="009A1C63"/>
    <w:rsid w:val="009A3C43"/>
    <w:rsid w:val="009A4015"/>
    <w:rsid w:val="009B3C84"/>
    <w:rsid w:val="009B6BAC"/>
    <w:rsid w:val="009D2001"/>
    <w:rsid w:val="009D5ED5"/>
    <w:rsid w:val="009D660B"/>
    <w:rsid w:val="009E3F3B"/>
    <w:rsid w:val="009E758D"/>
    <w:rsid w:val="00A0375D"/>
    <w:rsid w:val="00A04C1E"/>
    <w:rsid w:val="00A11FA1"/>
    <w:rsid w:val="00A15D12"/>
    <w:rsid w:val="00A2186E"/>
    <w:rsid w:val="00A24FA9"/>
    <w:rsid w:val="00A3477D"/>
    <w:rsid w:val="00A35B4E"/>
    <w:rsid w:val="00A37837"/>
    <w:rsid w:val="00A4456C"/>
    <w:rsid w:val="00A56EC7"/>
    <w:rsid w:val="00A66E18"/>
    <w:rsid w:val="00A71AB3"/>
    <w:rsid w:val="00A7319D"/>
    <w:rsid w:val="00A73543"/>
    <w:rsid w:val="00A73F96"/>
    <w:rsid w:val="00A7722C"/>
    <w:rsid w:val="00A80C16"/>
    <w:rsid w:val="00A82020"/>
    <w:rsid w:val="00A8354D"/>
    <w:rsid w:val="00A850DA"/>
    <w:rsid w:val="00A86FDC"/>
    <w:rsid w:val="00A934E9"/>
    <w:rsid w:val="00A94248"/>
    <w:rsid w:val="00A95A3A"/>
    <w:rsid w:val="00AB182C"/>
    <w:rsid w:val="00AB27EC"/>
    <w:rsid w:val="00AB2BAA"/>
    <w:rsid w:val="00AC083A"/>
    <w:rsid w:val="00AC78AC"/>
    <w:rsid w:val="00AD00BA"/>
    <w:rsid w:val="00AD5057"/>
    <w:rsid w:val="00AD506D"/>
    <w:rsid w:val="00AE48C4"/>
    <w:rsid w:val="00AE74FB"/>
    <w:rsid w:val="00AF077A"/>
    <w:rsid w:val="00AF3B0E"/>
    <w:rsid w:val="00B01C2E"/>
    <w:rsid w:val="00B02636"/>
    <w:rsid w:val="00B05A1B"/>
    <w:rsid w:val="00B05ABF"/>
    <w:rsid w:val="00B061CB"/>
    <w:rsid w:val="00B07A84"/>
    <w:rsid w:val="00B14BE6"/>
    <w:rsid w:val="00B15D36"/>
    <w:rsid w:val="00B22FF0"/>
    <w:rsid w:val="00B24DA4"/>
    <w:rsid w:val="00B25923"/>
    <w:rsid w:val="00B273E4"/>
    <w:rsid w:val="00B33561"/>
    <w:rsid w:val="00B35723"/>
    <w:rsid w:val="00B370FD"/>
    <w:rsid w:val="00B37562"/>
    <w:rsid w:val="00B4127F"/>
    <w:rsid w:val="00B415E7"/>
    <w:rsid w:val="00B42149"/>
    <w:rsid w:val="00B63E76"/>
    <w:rsid w:val="00B66698"/>
    <w:rsid w:val="00B677D8"/>
    <w:rsid w:val="00B6796B"/>
    <w:rsid w:val="00B804A6"/>
    <w:rsid w:val="00B814B7"/>
    <w:rsid w:val="00B81681"/>
    <w:rsid w:val="00B84938"/>
    <w:rsid w:val="00B84EB4"/>
    <w:rsid w:val="00B9212F"/>
    <w:rsid w:val="00B92322"/>
    <w:rsid w:val="00B96CAE"/>
    <w:rsid w:val="00BA5929"/>
    <w:rsid w:val="00BA60FE"/>
    <w:rsid w:val="00BB1006"/>
    <w:rsid w:val="00BB4A6F"/>
    <w:rsid w:val="00BC0092"/>
    <w:rsid w:val="00BC06E9"/>
    <w:rsid w:val="00BF605F"/>
    <w:rsid w:val="00C0293C"/>
    <w:rsid w:val="00C046B2"/>
    <w:rsid w:val="00C1551F"/>
    <w:rsid w:val="00C17799"/>
    <w:rsid w:val="00C17CFB"/>
    <w:rsid w:val="00C2273D"/>
    <w:rsid w:val="00C25BF3"/>
    <w:rsid w:val="00C25DC0"/>
    <w:rsid w:val="00C33312"/>
    <w:rsid w:val="00C34C2B"/>
    <w:rsid w:val="00C35F8A"/>
    <w:rsid w:val="00C401E7"/>
    <w:rsid w:val="00C427CA"/>
    <w:rsid w:val="00C448ED"/>
    <w:rsid w:val="00C46F65"/>
    <w:rsid w:val="00C5563F"/>
    <w:rsid w:val="00C561C0"/>
    <w:rsid w:val="00C62352"/>
    <w:rsid w:val="00C62EFB"/>
    <w:rsid w:val="00C65149"/>
    <w:rsid w:val="00C67879"/>
    <w:rsid w:val="00C67E08"/>
    <w:rsid w:val="00C711EC"/>
    <w:rsid w:val="00C756A2"/>
    <w:rsid w:val="00C7763C"/>
    <w:rsid w:val="00C77B32"/>
    <w:rsid w:val="00C92726"/>
    <w:rsid w:val="00C972F8"/>
    <w:rsid w:val="00CA4D03"/>
    <w:rsid w:val="00CB3A47"/>
    <w:rsid w:val="00CC4604"/>
    <w:rsid w:val="00CC7F4F"/>
    <w:rsid w:val="00CD3149"/>
    <w:rsid w:val="00CD3E5C"/>
    <w:rsid w:val="00CE46A7"/>
    <w:rsid w:val="00CE769B"/>
    <w:rsid w:val="00CF6904"/>
    <w:rsid w:val="00D006C3"/>
    <w:rsid w:val="00D03797"/>
    <w:rsid w:val="00D04045"/>
    <w:rsid w:val="00D042EF"/>
    <w:rsid w:val="00D04563"/>
    <w:rsid w:val="00D05933"/>
    <w:rsid w:val="00D16813"/>
    <w:rsid w:val="00D2023F"/>
    <w:rsid w:val="00D220B3"/>
    <w:rsid w:val="00D24E21"/>
    <w:rsid w:val="00D26336"/>
    <w:rsid w:val="00D26E5D"/>
    <w:rsid w:val="00D3303B"/>
    <w:rsid w:val="00D35998"/>
    <w:rsid w:val="00D460BE"/>
    <w:rsid w:val="00D505DE"/>
    <w:rsid w:val="00D5258E"/>
    <w:rsid w:val="00D541BC"/>
    <w:rsid w:val="00D5765E"/>
    <w:rsid w:val="00D57DAC"/>
    <w:rsid w:val="00D61A9A"/>
    <w:rsid w:val="00D64897"/>
    <w:rsid w:val="00D67207"/>
    <w:rsid w:val="00D675C4"/>
    <w:rsid w:val="00D70307"/>
    <w:rsid w:val="00D70596"/>
    <w:rsid w:val="00D70D3C"/>
    <w:rsid w:val="00D72E5E"/>
    <w:rsid w:val="00D7327F"/>
    <w:rsid w:val="00D84097"/>
    <w:rsid w:val="00D86D91"/>
    <w:rsid w:val="00D87319"/>
    <w:rsid w:val="00D92AE1"/>
    <w:rsid w:val="00DA4E70"/>
    <w:rsid w:val="00DB7C82"/>
    <w:rsid w:val="00DC02A7"/>
    <w:rsid w:val="00DD3D47"/>
    <w:rsid w:val="00DE40E3"/>
    <w:rsid w:val="00DF3393"/>
    <w:rsid w:val="00E00B53"/>
    <w:rsid w:val="00E05E8C"/>
    <w:rsid w:val="00E13740"/>
    <w:rsid w:val="00E140D0"/>
    <w:rsid w:val="00E2153C"/>
    <w:rsid w:val="00E24709"/>
    <w:rsid w:val="00E31255"/>
    <w:rsid w:val="00E36997"/>
    <w:rsid w:val="00E5163F"/>
    <w:rsid w:val="00E54A5D"/>
    <w:rsid w:val="00E55969"/>
    <w:rsid w:val="00E55B2F"/>
    <w:rsid w:val="00E612AA"/>
    <w:rsid w:val="00E61D56"/>
    <w:rsid w:val="00E630F3"/>
    <w:rsid w:val="00E654DC"/>
    <w:rsid w:val="00E73587"/>
    <w:rsid w:val="00E82A93"/>
    <w:rsid w:val="00E92F79"/>
    <w:rsid w:val="00E94F00"/>
    <w:rsid w:val="00EA34B7"/>
    <w:rsid w:val="00EA6D4D"/>
    <w:rsid w:val="00EA7A57"/>
    <w:rsid w:val="00EB24BE"/>
    <w:rsid w:val="00EB281D"/>
    <w:rsid w:val="00EB4239"/>
    <w:rsid w:val="00EB71BC"/>
    <w:rsid w:val="00EB76A6"/>
    <w:rsid w:val="00EC50AE"/>
    <w:rsid w:val="00EC5E3A"/>
    <w:rsid w:val="00EC715D"/>
    <w:rsid w:val="00ED0008"/>
    <w:rsid w:val="00EE3A60"/>
    <w:rsid w:val="00EE7747"/>
    <w:rsid w:val="00EF292B"/>
    <w:rsid w:val="00EF5A83"/>
    <w:rsid w:val="00EF5BAD"/>
    <w:rsid w:val="00F027D0"/>
    <w:rsid w:val="00F02ACC"/>
    <w:rsid w:val="00F04A80"/>
    <w:rsid w:val="00F12E35"/>
    <w:rsid w:val="00F13F95"/>
    <w:rsid w:val="00F219DD"/>
    <w:rsid w:val="00F2296D"/>
    <w:rsid w:val="00F2300E"/>
    <w:rsid w:val="00F24528"/>
    <w:rsid w:val="00F246C3"/>
    <w:rsid w:val="00F31053"/>
    <w:rsid w:val="00F31886"/>
    <w:rsid w:val="00F342AD"/>
    <w:rsid w:val="00F349B0"/>
    <w:rsid w:val="00F35E74"/>
    <w:rsid w:val="00F36593"/>
    <w:rsid w:val="00F509A4"/>
    <w:rsid w:val="00F73BF7"/>
    <w:rsid w:val="00F7484C"/>
    <w:rsid w:val="00F756C2"/>
    <w:rsid w:val="00F75B39"/>
    <w:rsid w:val="00F834BF"/>
    <w:rsid w:val="00F8369E"/>
    <w:rsid w:val="00F8439C"/>
    <w:rsid w:val="00F87A00"/>
    <w:rsid w:val="00F90618"/>
    <w:rsid w:val="00F959DA"/>
    <w:rsid w:val="00F97B64"/>
    <w:rsid w:val="00FA4860"/>
    <w:rsid w:val="00FA55CB"/>
    <w:rsid w:val="00FB20EE"/>
    <w:rsid w:val="00FB6F21"/>
    <w:rsid w:val="00FC1ABD"/>
    <w:rsid w:val="00FC71D9"/>
    <w:rsid w:val="00FE1530"/>
    <w:rsid w:val="00FE3848"/>
    <w:rsid w:val="00FE46C7"/>
    <w:rsid w:val="00FE631B"/>
    <w:rsid w:val="00FE6ED9"/>
    <w:rsid w:val="00FF2318"/>
    <w:rsid w:val="00FF713E"/>
    <w:rsid w:val="034DD3C2"/>
    <w:rsid w:val="0690BFCA"/>
    <w:rsid w:val="09CD7EEA"/>
    <w:rsid w:val="0AB38D04"/>
    <w:rsid w:val="0B4782DD"/>
    <w:rsid w:val="0F8C0EEF"/>
    <w:rsid w:val="1127DF50"/>
    <w:rsid w:val="12297930"/>
    <w:rsid w:val="14805AC0"/>
    <w:rsid w:val="181AAD5A"/>
    <w:rsid w:val="1947B79B"/>
    <w:rsid w:val="1A2678F3"/>
    <w:rsid w:val="1B7BDC0E"/>
    <w:rsid w:val="1D622199"/>
    <w:rsid w:val="1E8229D2"/>
    <w:rsid w:val="207D6461"/>
    <w:rsid w:val="218D4A23"/>
    <w:rsid w:val="2843E464"/>
    <w:rsid w:val="2AF10559"/>
    <w:rsid w:val="2C6B5EB4"/>
    <w:rsid w:val="306ADB0B"/>
    <w:rsid w:val="3380E50D"/>
    <w:rsid w:val="35C2D311"/>
    <w:rsid w:val="35DAE2B0"/>
    <w:rsid w:val="3656F599"/>
    <w:rsid w:val="36894E2A"/>
    <w:rsid w:val="371B41D2"/>
    <w:rsid w:val="37D48531"/>
    <w:rsid w:val="3907E6B1"/>
    <w:rsid w:val="39788DCD"/>
    <w:rsid w:val="39A14F89"/>
    <w:rsid w:val="3A017E99"/>
    <w:rsid w:val="3F2DFF36"/>
    <w:rsid w:val="41EFAF9D"/>
    <w:rsid w:val="42903527"/>
    <w:rsid w:val="438B7FFE"/>
    <w:rsid w:val="448ACBCA"/>
    <w:rsid w:val="46C320C0"/>
    <w:rsid w:val="46DAE54F"/>
    <w:rsid w:val="4B9691E3"/>
    <w:rsid w:val="53BA2ADB"/>
    <w:rsid w:val="548744C6"/>
    <w:rsid w:val="5634EFA0"/>
    <w:rsid w:val="57B3DF20"/>
    <w:rsid w:val="5A20C13F"/>
    <w:rsid w:val="5B460848"/>
    <w:rsid w:val="5BEACBAE"/>
    <w:rsid w:val="5DA949D3"/>
    <w:rsid w:val="5DD2836A"/>
    <w:rsid w:val="603E6BD2"/>
    <w:rsid w:val="63D32487"/>
    <w:rsid w:val="69861F26"/>
    <w:rsid w:val="6E4131F4"/>
    <w:rsid w:val="6F929EEB"/>
    <w:rsid w:val="7276A85A"/>
    <w:rsid w:val="7314A317"/>
    <w:rsid w:val="78181909"/>
    <w:rsid w:val="7899D1D2"/>
    <w:rsid w:val="7BF2620C"/>
    <w:rsid w:val="7CBB35C5"/>
    <w:rsid w:val="7D0E1F0E"/>
    <w:rsid w:val="7DF30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F3B"/>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sub-section,bulleted Jens,Dot pt,F5 List Paragraph,List Paragraph1,No Spacing1,List Paragraph Char Char Char,Indicator Text,Numbered Para 1,MAIN CONTENT,Bullet 1,Bullet Points,List Paragraph2,Normal numbered,titulo 5,List bullets,Liste 1"/>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91F7A"/>
    <w:pPr>
      <w:spacing w:line="240" w:lineRule="auto"/>
    </w:pPr>
    <w:rPr>
      <w:rFonts w:eastAsia="Times New Roman"/>
      <w:color w:val="auto"/>
    </w:rPr>
  </w:style>
  <w:style w:type="character" w:customStyle="1" w:styleId="FootnoteTextChar">
    <w:name w:val="Footnote Text Char"/>
    <w:basedOn w:val="DefaultParagraphFont"/>
    <w:link w:val="FootnoteText"/>
    <w:semiHidden/>
    <w:rsid w:val="00891F7A"/>
    <w:rPr>
      <w:rFonts w:ascii="Arial" w:hAnsi="Arial"/>
    </w:rPr>
  </w:style>
  <w:style w:type="character" w:styleId="FootnoteReference">
    <w:name w:val="footnote reference"/>
    <w:basedOn w:val="DefaultParagraphFont"/>
    <w:semiHidden/>
    <w:rsid w:val="00891F7A"/>
    <w:rPr>
      <w:vertAlign w:val="superscript"/>
    </w:rPr>
  </w:style>
  <w:style w:type="paragraph" w:styleId="z-TopofForm">
    <w:name w:val="HTML Top of Form"/>
    <w:basedOn w:val="Normal"/>
    <w:next w:val="Normal"/>
    <w:link w:val="z-TopofFormChar"/>
    <w:hidden/>
    <w:semiHidden/>
    <w:unhideWhenUsed/>
    <w:rsid w:val="00CF6904"/>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CF6904"/>
    <w:rPr>
      <w:rFonts w:ascii="Arial" w:eastAsia="MS PGothic" w:hAnsi="Arial" w:cs="Arial"/>
      <w:vanish/>
      <w:color w:val="000000"/>
      <w:sz w:val="16"/>
      <w:szCs w:val="16"/>
    </w:rPr>
  </w:style>
  <w:style w:type="paragraph" w:styleId="z-BottomofForm">
    <w:name w:val="HTML Bottom of Form"/>
    <w:basedOn w:val="Normal"/>
    <w:next w:val="Normal"/>
    <w:link w:val="z-BottomofFormChar"/>
    <w:hidden/>
    <w:semiHidden/>
    <w:unhideWhenUsed/>
    <w:rsid w:val="00CF6904"/>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CF6904"/>
    <w:rPr>
      <w:rFonts w:ascii="Arial" w:eastAsia="MS PGothic" w:hAnsi="Arial" w:cs="Arial"/>
      <w:vanish/>
      <w:color w:val="000000"/>
      <w:sz w:val="16"/>
      <w:szCs w:val="16"/>
    </w:rPr>
  </w:style>
  <w:style w:type="character" w:styleId="FollowedHyperlink">
    <w:name w:val="FollowedHyperlink"/>
    <w:basedOn w:val="DefaultParagraphFont"/>
    <w:rsid w:val="004F3D62"/>
    <w:rPr>
      <w:color w:val="954F72" w:themeColor="followedHyperlink"/>
      <w:u w:val="single"/>
    </w:rPr>
  </w:style>
  <w:style w:type="character" w:customStyle="1" w:styleId="rynqvb">
    <w:name w:val="rynqvb"/>
    <w:basedOn w:val="DefaultParagraphFont"/>
    <w:rsid w:val="007C3C37"/>
  </w:style>
  <w:style w:type="character" w:styleId="CommentReference">
    <w:name w:val="annotation reference"/>
    <w:basedOn w:val="DefaultParagraphFont"/>
    <w:semiHidden/>
    <w:unhideWhenUsed/>
    <w:rsid w:val="00AD00BA"/>
    <w:rPr>
      <w:sz w:val="16"/>
      <w:szCs w:val="16"/>
    </w:rPr>
  </w:style>
  <w:style w:type="paragraph" w:styleId="CommentSubject">
    <w:name w:val="annotation subject"/>
    <w:basedOn w:val="CommentText"/>
    <w:next w:val="CommentText"/>
    <w:link w:val="CommentSubjectChar"/>
    <w:semiHidden/>
    <w:unhideWhenUsed/>
    <w:rsid w:val="00AD00BA"/>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AD00BA"/>
    <w:rPr>
      <w:rFonts w:ascii="Arial" w:eastAsia="MS PGothic" w:hAnsi="Arial"/>
      <w:b/>
      <w:bCs/>
      <w:color w:val="000000"/>
      <w:lang w:val="en-GB"/>
    </w:rPr>
  </w:style>
  <w:style w:type="paragraph" w:styleId="Revision">
    <w:name w:val="Revision"/>
    <w:hidden/>
    <w:uiPriority w:val="99"/>
    <w:semiHidden/>
    <w:rsid w:val="0025373F"/>
    <w:rPr>
      <w:rFonts w:ascii="Arial" w:eastAsia="MS PGothic" w:hAnsi="Arial"/>
      <w:color w:val="000000"/>
    </w:rPr>
  </w:style>
  <w:style w:type="character" w:customStyle="1" w:styleId="ListParagraphChar">
    <w:name w:val="List Paragraph Char"/>
    <w:aliases w:val="sub-section Char,bulleted Jens Char,Dot pt Char,F5 List Paragraph Char,List Paragraph1 Char,No Spacing1 Char,List Paragraph Char Char Char Char,Indicator Text Char,Numbered Para 1 Char,MAIN CONTENT Char,Bullet 1 Char,titulo 5 Char"/>
    <w:link w:val="ListParagraph"/>
    <w:uiPriority w:val="34"/>
    <w:qFormat/>
    <w:rsid w:val="00FE6ED9"/>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353264901">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892540293">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1241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oportunidades.onu.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3AC8364D4AB2344B007A3F97F03F7D9" ma:contentTypeVersion="53" ma:contentTypeDescription="Create a new document." ma:contentTypeScope="" ma:versionID="c2f68e864c66628b73cb3854ccfd2bd2">
  <xsd:schema xmlns:xsd="http://www.w3.org/2001/XMLSchema" xmlns:xs="http://www.w3.org/2001/XMLSchema" xmlns:p="http://schemas.microsoft.com/office/2006/metadata/properties" xmlns:ns1="http://schemas.microsoft.com/sharepoint/v3" xmlns:ns2="ca283e0b-db31-4043-a2ef-b80661bf084a" xmlns:ns3="http://schemas.microsoft.com/sharepoint.v3" xmlns:ns4="343bb1db-5eb2-48c6-aa88-8e33e6c97b7e" xmlns:ns5="588246f4-f4a8-41a8-9f4a-3dc4a33f4236" xmlns:ns6="http://schemas.microsoft.com/sharepoint/v4" targetNamespace="http://schemas.microsoft.com/office/2006/metadata/properties" ma:root="true" ma:fieldsID="8cd8a133878a9c60b64528d393912dc0" ns1:_="" ns2:_="" ns3:_="" ns4:_="" ns5:_="" ns6:_="">
    <xsd:import namespace="http://schemas.microsoft.com/sharepoint/v3"/>
    <xsd:import namespace="ca283e0b-db31-4043-a2ef-b80661bf084a"/>
    <xsd:import namespace="http://schemas.microsoft.com/sharepoint.v3"/>
    <xsd:import namespace="343bb1db-5eb2-48c6-aa88-8e33e6c97b7e"/>
    <xsd:import namespace="588246f4-f4a8-41a8-9f4a-3dc4a33f423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6:IconOverlay" minOccurs="0"/>
                <xsd:element ref="ns1:_vti_ItemDeclaredRecord" minOccurs="0"/>
                <xsd:element ref="ns4:TaxKeywordTaxHTField" minOccurs="0"/>
                <xsd:element ref="ns1:_vti_ItemHoldRecordStatus" minOccurs="0"/>
                <xsd:element ref="ns4:SemaphoreItemMetadata" minOccurs="0"/>
                <xsd:element ref="ns5:MediaServiceLocation" minOccurs="0"/>
                <xsd:element ref="ns5:MediaLengthInSeconds" minOccurs="0"/>
                <xsd:element ref="ns5:Year"/>
                <xsd:element ref="ns5:Tipo_x0020_de_x0020_documento"/>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Bolivia-0510|8da4a31b-c6e6-4aed-a5a1-e28b6ebb72e8"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5ff3dad-678e-4757-906a-6c3e212f583e}" ma:internalName="TaxCatchAllLabel" ma:readOnly="true" ma:showField="CatchAllDataLabel" ma:web="343bb1db-5eb2-48c6-aa88-8e33e6c97b7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5ff3dad-678e-4757-906a-6c3e212f583e}" ma:internalName="TaxCatchAll" ma:showField="CatchAllData" ma:web="343bb1db-5eb2-48c6-aa88-8e33e6c97b7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bb1db-5eb2-48c6-aa88-8e33e6c97b7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46f4-f4a8-41a8-9f4a-3dc4a33f423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Location" ma:index="47" nillable="true" ma:displayName="Location" ma:internalName="MediaServiceLocation" ma:readOnly="true">
      <xsd:simpleType>
        <xsd:restriction base="dms:Text"/>
      </xsd:simpleType>
    </xsd:element>
    <xsd:element name="MediaLengthInSeconds" ma:index="48" nillable="true" ma:displayName="Length (seconds)" ma:internalName="MediaLengthInSeconds" ma:readOnly="true">
      <xsd:simpleType>
        <xsd:restriction base="dms:Unknown"/>
      </xsd:simpleType>
    </xsd:element>
    <xsd:element name="Year" ma:index="49" ma:displayName="Year" ma:format="Dropdown" ma:internalName="Year">
      <xsd:simpleType>
        <xsd:restriction base="dms:Choice">
          <xsd:enumeration value="2019"/>
          <xsd:enumeration value="2020"/>
          <xsd:enumeration value="2021"/>
          <xsd:enumeration value="2022"/>
          <xsd:enumeration value="2023"/>
          <xsd:enumeration value="2024"/>
          <xsd:enumeration value="2025"/>
          <xsd:enumeration value="2026"/>
        </xsd:restriction>
      </xsd:simpleType>
    </xsd:element>
    <xsd:element name="Tipo_x0020_de_x0020_documento" ma:index="50" ma:displayName="Tipo de documento" ma:default="Administrative" ma:format="Dropdown" ma:internalName="Tipo_x0020_de_x0020_documento">
      <xsd:simpleType>
        <xsd:restriction base="dms:Choice">
          <xsd:enumeration value="Administrative"/>
          <xsd:enumeration value="Cápsula informativa HR"/>
          <xsd:enumeration value="Cápsulas Informativas HR"/>
          <xsd:enumeration value="CHECK LIST SEPARACION ANDREAS LARSSON"/>
          <xsd:enumeration value="CHECK LIST SEPARACION FRIDA LANDIVAR"/>
          <xsd:enumeration value="CHECK LIST SEPARACION GUIDO GARCIA"/>
          <xsd:enumeration value="Consultants"/>
          <xsd:enumeration value="Covid 19"/>
          <xsd:enumeration value="CVs and rosters (consultants)"/>
          <xsd:enumeration value="Directorio"/>
          <xsd:enumeration value="Documentos CIC"/>
          <xsd:enumeration value="Documents CIC"/>
          <xsd:enumeration value="Exit clearance"/>
          <xsd:enumeration value="Leave Plan"/>
          <xsd:enumeration value="Leave Plan 2022 2023"/>
          <xsd:enumeration value="n/a"/>
          <xsd:enumeration value="Organigrama"/>
          <xsd:enumeration value="Organogrammes"/>
          <xsd:enumeration value="OVERTIME FORM"/>
          <xsd:enumeration value="P11 CIC"/>
          <xsd:enumeration value="P11 Consultant"/>
          <xsd:enumeration value="P11 Consultants"/>
          <xsd:enumeration value="P11 Consultores"/>
          <xsd:enumeration value="Plan de retorno"/>
          <xsd:enumeration value="Procedimiento COVID-19 UNICEF"/>
          <xsd:enumeration value="Reporte"/>
          <xsd:enumeration value="Reuniones"/>
          <xsd:enumeration value="SSA Planning"/>
          <xsd:enumeration value="Staff Wellbeing"/>
          <xsd:enumeration value="VACUNAS"/>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140</Value>
      <Value>141</Value>
      <Value>35</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343bb1db-5eb2-48c6-aa88-8e33e6c97b7e">
      <UserInfo>
        <DisplayName>naadmin</DisplayName>
        <AccountId>18</AccountId>
        <AccountType/>
      </UserInfo>
      <UserInfo>
        <DisplayName>BOL-Human Resources HR Conf Readers</DisplayName>
        <AccountId>20</AccountId>
        <AccountType/>
      </UserInfo>
      <UserInfo>
        <DisplayName>SharingLinks.e61d61d7-9cb8-42b6-bb51-f9afeca8813b.OrganizationEdit.57f1a765-8593-4e70-83ce-1abbf435afa6</DisplayName>
        <AccountId>3439</AccountId>
        <AccountType/>
      </UserInfo>
      <UserInfo>
        <DisplayName>Ikuko Shimizu</DisplayName>
        <AccountId>134</AccountId>
        <AccountType/>
      </UserInfo>
      <UserInfo>
        <DisplayName>SharingLinks.75c75077-7220-44f0-b382-516eae80c4d1.OrganizationView.d4a21e97-f18c-4aa2-943f-3bf87022e98f</DisplayName>
        <AccountId>3126</AccountId>
        <AccountType/>
      </UserInfo>
      <UserInfo>
        <DisplayName>Mayra Barron</DisplayName>
        <AccountId>10</AccountId>
        <AccountType/>
      </UserInfo>
      <UserInfo>
        <DisplayName>Cecilia Arce</DisplayName>
        <AccountId>21</AccountId>
        <AccountType/>
      </UserInfo>
      <UserInfo>
        <DisplayName>Virginia Perez</DisplayName>
        <AccountId>83</AccountId>
        <AccountType/>
      </UserInfo>
      <UserInfo>
        <DisplayName>Fabian Loza</DisplayName>
        <AccountId>58</AccountId>
        <AccountType/>
      </UserInfo>
      <UserInfo>
        <DisplayName>Dinora Velasco Ortiz</DisplayName>
        <AccountId>2025</AccountId>
        <AccountType/>
      </UserInfo>
    </SharedWithUsers>
    <TaxKeywordTaxHTField xmlns="343bb1db-5eb2-48c6-aa88-8e33e6c97b7e">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343bb1db-5eb2-48c6-aa88-8e33e6c97b7e">{"ClassificationOrdered":false,"ClassificationRequested":"2021-02-12T13:44:25.6176093Z","Columns":[],"HasBodyChanged":true,"HasPendingClassification":false,"IsUpdate":false,"IsUploading":false,"ShouldCancel":false,"SkipClassification":false,"ShouldDelay":false}</SemaphoreItemMetadata>
    <lcf76f155ced4ddcb4097134ff3c332f xmlns="588246f4-f4a8-41a8-9f4a-3dc4a33f4236">
      <Terms xmlns="http://schemas.microsoft.com/office/infopath/2007/PartnerControls"/>
    </lcf76f155ced4ddcb4097134ff3c332f>
    <Year xmlns="588246f4-f4a8-41a8-9f4a-3dc4a33f4236">2023</Year>
    <Tipo_x0020_de_x0020_documento xmlns="588246f4-f4a8-41a8-9f4a-3dc4a33f4236">Documentos CIC</Tipo_x0020_de_x0020_documento>
  </documentManagement>
</p:properties>
</file>

<file path=customXml/itemProps1.xml><?xml version="1.0" encoding="utf-8"?>
<ds:datastoreItem xmlns:ds="http://schemas.openxmlformats.org/officeDocument/2006/customXml" ds:itemID="{AF193FBC-29B4-41BE-A4DA-1FA6FEF272D8}">
  <ds:schemaRefs>
    <ds:schemaRef ds:uri="http://schemas.microsoft.com/sharepoint/events"/>
  </ds:schemaRefs>
</ds:datastoreItem>
</file>

<file path=customXml/itemProps2.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3.xml><?xml version="1.0" encoding="utf-8"?>
<ds:datastoreItem xmlns:ds="http://schemas.openxmlformats.org/officeDocument/2006/customXml" ds:itemID="{177726BE-12B3-45D7-8216-5AA789FC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43bb1db-5eb2-48c6-aa88-8e33e6c97b7e"/>
    <ds:schemaRef ds:uri="588246f4-f4a8-41a8-9f4a-3dc4a33f423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5.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6.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7.xml><?xml version="1.0" encoding="utf-8"?>
<ds:datastoreItem xmlns:ds="http://schemas.openxmlformats.org/officeDocument/2006/customXml" ds:itemID="{F7E110A9-5E43-4546-B30B-2312326FA0D4}">
  <ds:schemaRefs>
    <ds:schemaRef ds:uri="http://www.w3.org/XML/1998/namespace"/>
    <ds:schemaRef ds:uri="http://purl.org/dc/dcmitype/"/>
    <ds:schemaRef ds:uri="http://schemas.microsoft.com/office/2006/documentManagement/types"/>
    <ds:schemaRef ds:uri="http://schemas.microsoft.com/office/2006/metadata/properties"/>
    <ds:schemaRef ds:uri="http://schemas.microsoft.com/sharepoint.v3"/>
    <ds:schemaRef ds:uri="http://purl.org/dc/terms/"/>
    <ds:schemaRef ds:uri="588246f4-f4a8-41a8-9f4a-3dc4a33f4236"/>
    <ds:schemaRef ds:uri="343bb1db-5eb2-48c6-aa88-8e33e6c97b7e"/>
    <ds:schemaRef ds:uri="http://schemas.microsoft.com/office/infopath/2007/PartnerControls"/>
    <ds:schemaRef ds:uri="http://purl.org/dc/elements/1.1/"/>
    <ds:schemaRef ds:uri="http://schemas.microsoft.com/sharepoint/v3"/>
    <ds:schemaRef ds:uri="http://schemas.openxmlformats.org/package/2006/metadata/core-properties"/>
    <ds:schemaRef ds:uri="http://schemas.microsoft.com/sharepoint/v4"/>
    <ds:schemaRef ds:uri="ca283e0b-db31-4043-a2ef-b80661bf084a"/>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UNCEF_Letterhead_ForEveryChild_US_Letter.dotx</Template>
  <TotalTime>473</TotalTime>
  <Pages>7</Pages>
  <Words>3482</Words>
  <Characters>19655</Characters>
  <Application>Microsoft Office Word</Application>
  <DocSecurity>0</DocSecurity>
  <Lines>163</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Terms of Reference (Template)</vt:lpstr>
      <vt:lpstr>Terms of Reference (Template)</vt:lpstr>
    </vt:vector>
  </TitlesOfParts>
  <Company>UNICEF</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Cecilia Arce</cp:lastModifiedBy>
  <cp:revision>46</cp:revision>
  <cp:lastPrinted>2017-01-06T22:20:00Z</cp:lastPrinted>
  <dcterms:created xsi:type="dcterms:W3CDTF">2025-02-28T01:34:00Z</dcterms:created>
  <dcterms:modified xsi:type="dcterms:W3CDTF">2025-03-14T01:52:00Z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0x0101009BA85F8052A6DA4FA3E31FF9F74C69700083AC8364D4AB2344B007A3F97F03F7D9</vt:lpwstr>
  </property>
  <property fmtid="{D5CDD505-2E9C-101B-9397-08002B2CF9AE}" pid="3" name="TaxKeyword">
    <vt:lpwstr>4;#Consultant|97dbf340-afa5-45ee-bb2e-48a25e57c80a;#38;#Terms of reference|26e23d09-321c-47a9-b467-3d76284820e0</vt:lpwstr>
  </property>
  <property fmtid="{D5CDD505-2E9C-101B-9397-08002B2CF9AE}" pid="4" name="Topic">
    <vt:lpwstr>35;#HR Capacity HQ|5dfbef22-74f3-4590-8e9b-b76c325b633c</vt:lpwstr>
  </property>
  <property fmtid="{D5CDD505-2E9C-101B-9397-08002B2CF9AE}" pid="5" name="OfficeDivision">
    <vt:lpwstr>141;#Lebanon-2490|9edb7c65-e5d5-4e49-90eb-6706d834a52d</vt:lpwstr>
  </property>
  <property fmtid="{D5CDD505-2E9C-101B-9397-08002B2CF9AE}" pid="6" name="_dlc_DocIdItemGuid">
    <vt:lpwstr>40501985-388f-44a2-871f-4facccf89301</vt:lpwstr>
  </property>
  <property fmtid="{D5CDD505-2E9C-101B-9397-08002B2CF9AE}" pid="7" name="DocumentType">
    <vt:lpwstr>140;#Job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19126a065b31116e48cca1866240eb228ef606318610ef776c9b4049db257509</vt:lpwstr>
  </property>
</Properties>
</file>